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CB" w:rsidRPr="008A14CC" w:rsidRDefault="00FC06CB" w:rsidP="00FC06CB">
      <w:pPr>
        <w:spacing w:after="0" w:line="360" w:lineRule="auto"/>
        <w:jc w:val="both"/>
        <w:rPr>
          <w:rFonts w:ascii="Palatino Linotype" w:eastAsia="Calibri" w:hAnsi="Palatino Linotype" w:cs="Arial"/>
          <w:b/>
          <w:bCs/>
          <w:sz w:val="24"/>
          <w:szCs w:val="24"/>
          <w:lang w:eastAsia="es-MX"/>
        </w:rPr>
      </w:pPr>
      <w:bookmarkStart w:id="0" w:name="_GoBack"/>
      <w:bookmarkEnd w:id="0"/>
      <w:r w:rsidRPr="008A14CC">
        <w:rPr>
          <w:rFonts w:ascii="Palatino Linotype" w:eastAsia="Calibri" w:hAnsi="Palatino Linotype" w:cs="Arial"/>
          <w:b/>
          <w:sz w:val="24"/>
          <w:szCs w:val="24"/>
        </w:rPr>
        <w:t xml:space="preserve">VOTO PARTICULAR DEL COMISIONADO JOSÉ GUADALUPE LUNA HERNÁNDEZ EN EL RECURSO DE REVISIÓN </w:t>
      </w:r>
      <w:r>
        <w:rPr>
          <w:rFonts w:ascii="Palatino Linotype" w:hAnsi="Palatino Linotype"/>
          <w:b/>
        </w:rPr>
        <w:t>02365</w:t>
      </w:r>
      <w:r w:rsidRPr="008A14CC">
        <w:rPr>
          <w:rFonts w:ascii="Palatino Linotype" w:hAnsi="Palatino Linotype" w:cs="Arial"/>
          <w:b/>
          <w:bCs/>
        </w:rPr>
        <w:t>/INFOEM/IP/RR/2018</w:t>
      </w:r>
      <w:r w:rsidRPr="008A14CC">
        <w:rPr>
          <w:rFonts w:ascii="Palatino Linotype" w:hAnsi="Palatino Linotype"/>
          <w:b/>
        </w:rPr>
        <w:t xml:space="preserve"> Y ACUMULADOS.</w:t>
      </w:r>
    </w:p>
    <w:p w:rsidR="00FC06CB" w:rsidRPr="008A14CC" w:rsidRDefault="00FC06CB" w:rsidP="00FC06CB">
      <w:pPr>
        <w:spacing w:after="0" w:line="360" w:lineRule="auto"/>
        <w:jc w:val="both"/>
        <w:rPr>
          <w:rFonts w:ascii="Palatino Linotype" w:eastAsia="Calibri" w:hAnsi="Palatino Linotype" w:cs="Arial"/>
          <w:sz w:val="24"/>
          <w:szCs w:val="24"/>
        </w:rPr>
      </w:pPr>
    </w:p>
    <w:p w:rsidR="00FC06CB" w:rsidRPr="008A14CC" w:rsidRDefault="00FC06CB" w:rsidP="00FC06CB">
      <w:pPr>
        <w:spacing w:after="0" w:line="360" w:lineRule="auto"/>
        <w:jc w:val="both"/>
        <w:rPr>
          <w:rFonts w:ascii="Palatino Linotype" w:eastAsia="Calibri" w:hAnsi="Palatino Linotype" w:cs="Arial"/>
          <w:sz w:val="24"/>
          <w:szCs w:val="24"/>
        </w:rPr>
      </w:pPr>
      <w:r w:rsidRPr="008A14CC">
        <w:rPr>
          <w:rFonts w:ascii="Palatino Linotype" w:eastAsia="Calibri" w:hAnsi="Palatino Linotype" w:cs="Arial"/>
          <w:b/>
          <w:sz w:val="24"/>
          <w:szCs w:val="24"/>
        </w:rPr>
        <w:t>Resumen del voto:</w:t>
      </w:r>
      <w:r w:rsidRPr="008A14CC">
        <w:rPr>
          <w:rFonts w:ascii="Palatino Linotype" w:eastAsia="Calibri" w:hAnsi="Palatino Linotype" w:cs="Arial"/>
          <w:sz w:val="24"/>
          <w:szCs w:val="24"/>
        </w:rPr>
        <w:t xml:space="preserve"> Para satisfacer plenamente el derecho de acceso a la información pública, el Instituto de Transparencia, Acceso a la Información Pública y Protección de Datos Personales del Estado de México y Municipios debe velar por que los Sujetos Obligados respeten y se rijan por los principios de simplicidad, rapidez, </w:t>
      </w:r>
      <w:r w:rsidRPr="008A14CC">
        <w:rPr>
          <w:rFonts w:ascii="Palatino Linotype" w:eastAsia="Calibri" w:hAnsi="Palatino Linotype" w:cs="Arial"/>
          <w:b/>
          <w:i/>
          <w:sz w:val="24"/>
          <w:szCs w:val="24"/>
        </w:rPr>
        <w:t>gratuidad</w:t>
      </w:r>
      <w:r w:rsidRPr="008A14CC">
        <w:rPr>
          <w:rFonts w:ascii="Palatino Linotype" w:eastAsia="Calibri" w:hAnsi="Palatino Linotype" w:cs="Arial"/>
          <w:sz w:val="24"/>
          <w:szCs w:val="24"/>
        </w:rPr>
        <w:t>, así como auxilio y orientación a los particulares con el propósito de otorgar la protección más amplia del derecho humano de las personas.</w:t>
      </w:r>
    </w:p>
    <w:p w:rsidR="00FC06CB" w:rsidRDefault="00FC06CB" w:rsidP="00FC06CB">
      <w:pPr>
        <w:spacing w:after="0" w:line="360" w:lineRule="auto"/>
        <w:jc w:val="both"/>
        <w:rPr>
          <w:rFonts w:ascii="Palatino Linotype" w:eastAsia="Calibri" w:hAnsi="Palatino Linotype" w:cs="Arial"/>
          <w:sz w:val="24"/>
          <w:szCs w:val="24"/>
        </w:rPr>
      </w:pPr>
    </w:p>
    <w:p w:rsidR="00FC06CB" w:rsidRPr="008A14CC" w:rsidRDefault="00FC06CB" w:rsidP="00FC06CB">
      <w:pPr>
        <w:keepNext/>
        <w:keepLines/>
        <w:spacing w:before="240" w:after="0" w:line="360" w:lineRule="auto"/>
        <w:rPr>
          <w:rFonts w:ascii="Palatino Linotype" w:eastAsiaTheme="majorEastAsia" w:hAnsi="Palatino Linotype" w:cs="Arial"/>
          <w:sz w:val="24"/>
          <w:szCs w:val="24"/>
          <w:lang w:eastAsia="es-MX"/>
        </w:rPr>
      </w:pPr>
      <w:r w:rsidRPr="008A14CC">
        <w:rPr>
          <w:rFonts w:ascii="Palatino Linotype" w:eastAsiaTheme="majorEastAsia" w:hAnsi="Palatino Linotype" w:cs="Arial"/>
          <w:b/>
          <w:sz w:val="24"/>
          <w:szCs w:val="24"/>
          <w:lang w:eastAsia="es-MX"/>
        </w:rPr>
        <w:t>Índice.</w:t>
      </w:r>
    </w:p>
    <w:sdt>
      <w:sdtPr>
        <w:rPr>
          <w:sz w:val="24"/>
          <w:szCs w:val="24"/>
          <w:lang w:val="es-ES"/>
        </w:rPr>
        <w:id w:val="-1628690016"/>
        <w:docPartObj>
          <w:docPartGallery w:val="Table of Contents"/>
          <w:docPartUnique/>
        </w:docPartObj>
      </w:sdtPr>
      <w:sdtEndPr>
        <w:rPr>
          <w:rFonts w:ascii="Palatino Linotype" w:hAnsi="Palatino Linotype"/>
          <w:bCs/>
        </w:rPr>
      </w:sdtEndPr>
      <w:sdtContent>
        <w:p w:rsidR="00FC06CB" w:rsidRPr="008A14CC" w:rsidRDefault="00FC06CB" w:rsidP="00FC06CB">
          <w:pPr>
            <w:tabs>
              <w:tab w:val="left" w:pos="440"/>
              <w:tab w:val="left" w:pos="880"/>
              <w:tab w:val="right" w:leader="dot" w:pos="8828"/>
            </w:tabs>
            <w:spacing w:after="100"/>
            <w:ind w:left="284"/>
            <w:jc w:val="both"/>
            <w:rPr>
              <w:rFonts w:ascii="Palatino Linotype" w:eastAsiaTheme="minorEastAsia" w:hAnsi="Palatino Linotype"/>
              <w:noProof/>
              <w:lang w:val="es-ES" w:eastAsia="es-ES"/>
            </w:rPr>
          </w:pPr>
          <w:r w:rsidRPr="008A14CC">
            <w:rPr>
              <w:rFonts w:ascii="Palatino Linotype" w:hAnsi="Palatino Linotype"/>
              <w:noProof/>
              <w:sz w:val="24"/>
              <w:szCs w:val="24"/>
            </w:rPr>
            <w:fldChar w:fldCharType="begin"/>
          </w:r>
          <w:r w:rsidRPr="008A14CC">
            <w:rPr>
              <w:rFonts w:ascii="Palatino Linotype" w:hAnsi="Palatino Linotype"/>
              <w:b/>
              <w:noProof/>
              <w:sz w:val="24"/>
              <w:szCs w:val="24"/>
            </w:rPr>
            <w:instrText xml:space="preserve"> TOC \o "1-3" \h \z \u </w:instrText>
          </w:r>
          <w:r w:rsidRPr="008A14CC">
            <w:rPr>
              <w:rFonts w:ascii="Palatino Linotype" w:hAnsi="Palatino Linotype"/>
              <w:noProof/>
              <w:sz w:val="24"/>
              <w:szCs w:val="24"/>
            </w:rPr>
            <w:fldChar w:fldCharType="separate"/>
          </w:r>
          <w:hyperlink w:anchor="_Toc516449141" w:history="1">
            <w:r w:rsidRPr="008A14CC">
              <w:rPr>
                <w:rFonts w:ascii="Palatino Linotype" w:eastAsia="Times New Roman" w:hAnsi="Palatino Linotype"/>
                <w:b/>
                <w:noProof/>
                <w:color w:val="0563C1" w:themeColor="hyperlink"/>
                <w:sz w:val="20"/>
                <w:szCs w:val="20"/>
                <w:u w:val="single"/>
              </w:rPr>
              <w:t>I.</w:t>
            </w:r>
            <w:r w:rsidRPr="008A14CC">
              <w:rPr>
                <w:rFonts w:ascii="Palatino Linotype" w:eastAsiaTheme="minorEastAsia" w:hAnsi="Palatino Linotype"/>
                <w:noProof/>
                <w:lang w:val="es-ES" w:eastAsia="es-ES"/>
              </w:rPr>
              <w:tab/>
            </w:r>
            <w:r w:rsidRPr="008A14CC">
              <w:rPr>
                <w:rFonts w:ascii="Palatino Linotype" w:eastAsia="Times New Roman" w:hAnsi="Palatino Linotype"/>
                <w:b/>
                <w:noProof/>
                <w:color w:val="0563C1" w:themeColor="hyperlink"/>
                <w:sz w:val="20"/>
                <w:szCs w:val="20"/>
                <w:u w:val="single"/>
              </w:rPr>
              <w:t>Consideraciones Generales</w:t>
            </w:r>
            <w:r w:rsidRPr="008A14CC">
              <w:rPr>
                <w:rFonts w:ascii="Palatino Linotype" w:hAnsi="Palatino Linotype"/>
                <w:b/>
                <w:noProof/>
                <w:webHidden/>
                <w:sz w:val="20"/>
                <w:szCs w:val="20"/>
              </w:rPr>
              <w:tab/>
            </w:r>
            <w:r w:rsidRPr="008A14CC">
              <w:rPr>
                <w:rFonts w:ascii="Palatino Linotype" w:hAnsi="Palatino Linotype"/>
                <w:b/>
                <w:noProof/>
                <w:webHidden/>
                <w:sz w:val="20"/>
                <w:szCs w:val="20"/>
              </w:rPr>
              <w:fldChar w:fldCharType="begin"/>
            </w:r>
            <w:r w:rsidRPr="008A14CC">
              <w:rPr>
                <w:rFonts w:ascii="Palatino Linotype" w:hAnsi="Palatino Linotype"/>
                <w:b/>
                <w:noProof/>
                <w:webHidden/>
                <w:sz w:val="20"/>
                <w:szCs w:val="20"/>
              </w:rPr>
              <w:instrText xml:space="preserve"> PAGEREF _Toc516449141 \h </w:instrText>
            </w:r>
            <w:r w:rsidRPr="008A14CC">
              <w:rPr>
                <w:rFonts w:ascii="Palatino Linotype" w:hAnsi="Palatino Linotype"/>
                <w:b/>
                <w:noProof/>
                <w:webHidden/>
                <w:sz w:val="20"/>
                <w:szCs w:val="20"/>
              </w:rPr>
            </w:r>
            <w:r w:rsidRPr="008A14CC">
              <w:rPr>
                <w:rFonts w:ascii="Palatino Linotype" w:hAnsi="Palatino Linotype"/>
                <w:b/>
                <w:noProof/>
                <w:webHidden/>
                <w:sz w:val="20"/>
                <w:szCs w:val="20"/>
              </w:rPr>
              <w:fldChar w:fldCharType="separate"/>
            </w:r>
            <w:r>
              <w:rPr>
                <w:rFonts w:ascii="Palatino Linotype" w:hAnsi="Palatino Linotype"/>
                <w:b/>
                <w:noProof/>
                <w:webHidden/>
                <w:sz w:val="20"/>
                <w:szCs w:val="20"/>
              </w:rPr>
              <w:t>2</w:t>
            </w:r>
            <w:r w:rsidRPr="008A14CC">
              <w:rPr>
                <w:rFonts w:ascii="Palatino Linotype" w:hAnsi="Palatino Linotype"/>
                <w:b/>
                <w:noProof/>
                <w:webHidden/>
                <w:sz w:val="20"/>
                <w:szCs w:val="20"/>
              </w:rPr>
              <w:fldChar w:fldCharType="end"/>
            </w:r>
          </w:hyperlink>
        </w:p>
        <w:p w:rsidR="00FC06CB" w:rsidRPr="008A14CC" w:rsidRDefault="0025577F" w:rsidP="00FC06CB">
          <w:pPr>
            <w:tabs>
              <w:tab w:val="left" w:pos="440"/>
              <w:tab w:val="left" w:pos="880"/>
              <w:tab w:val="right" w:leader="dot" w:pos="8828"/>
            </w:tabs>
            <w:spacing w:after="100"/>
            <w:ind w:left="284"/>
            <w:jc w:val="both"/>
            <w:rPr>
              <w:rFonts w:ascii="Palatino Linotype" w:eastAsiaTheme="minorEastAsia" w:hAnsi="Palatino Linotype"/>
              <w:noProof/>
              <w:lang w:val="es-ES" w:eastAsia="es-ES"/>
            </w:rPr>
          </w:pPr>
          <w:hyperlink w:anchor="_Toc516449142" w:history="1">
            <w:r w:rsidR="00FC06CB" w:rsidRPr="008A14CC">
              <w:rPr>
                <w:rFonts w:ascii="Palatino Linotype" w:eastAsia="Calibri" w:hAnsi="Palatino Linotype"/>
                <w:b/>
                <w:noProof/>
                <w:color w:val="0563C1" w:themeColor="hyperlink"/>
                <w:sz w:val="20"/>
                <w:szCs w:val="20"/>
                <w:u w:val="single"/>
                <w:lang w:val="es-ES"/>
              </w:rPr>
              <w:t>II.</w:t>
            </w:r>
            <w:r w:rsidR="00FC06CB" w:rsidRPr="008A14CC">
              <w:rPr>
                <w:rFonts w:ascii="Palatino Linotype" w:eastAsiaTheme="minorEastAsia" w:hAnsi="Palatino Linotype"/>
                <w:noProof/>
                <w:lang w:val="es-ES" w:eastAsia="es-ES"/>
              </w:rPr>
              <w:tab/>
            </w:r>
            <w:r w:rsidR="00FC06CB" w:rsidRPr="008A14CC">
              <w:rPr>
                <w:rFonts w:ascii="Palatino Linotype" w:eastAsia="Calibri" w:hAnsi="Palatino Linotype"/>
                <w:b/>
                <w:noProof/>
                <w:color w:val="0563C1" w:themeColor="hyperlink"/>
                <w:sz w:val="20"/>
                <w:szCs w:val="20"/>
                <w:u w:val="single"/>
                <w:lang w:val="es-ES"/>
              </w:rPr>
              <w:t>De los requerimientos planteados en el recurso de revisión.</w:t>
            </w:r>
            <w:r w:rsidR="00FC06CB" w:rsidRPr="008A14CC">
              <w:rPr>
                <w:rFonts w:ascii="Palatino Linotype" w:hAnsi="Palatino Linotype"/>
                <w:b/>
                <w:noProof/>
                <w:webHidden/>
                <w:sz w:val="20"/>
                <w:szCs w:val="20"/>
              </w:rPr>
              <w:tab/>
            </w:r>
            <w:r w:rsidR="00FC06CB" w:rsidRPr="008A14CC">
              <w:rPr>
                <w:rFonts w:ascii="Palatino Linotype" w:hAnsi="Palatino Linotype"/>
                <w:b/>
                <w:noProof/>
                <w:webHidden/>
                <w:sz w:val="20"/>
                <w:szCs w:val="20"/>
              </w:rPr>
              <w:fldChar w:fldCharType="begin"/>
            </w:r>
            <w:r w:rsidR="00FC06CB" w:rsidRPr="008A14CC">
              <w:rPr>
                <w:rFonts w:ascii="Palatino Linotype" w:hAnsi="Palatino Linotype"/>
                <w:b/>
                <w:noProof/>
                <w:webHidden/>
                <w:sz w:val="20"/>
                <w:szCs w:val="20"/>
              </w:rPr>
              <w:instrText xml:space="preserve"> PAGEREF _Toc516449142 \h </w:instrText>
            </w:r>
            <w:r w:rsidR="00FC06CB" w:rsidRPr="008A14CC">
              <w:rPr>
                <w:rFonts w:ascii="Palatino Linotype" w:hAnsi="Palatino Linotype"/>
                <w:b/>
                <w:noProof/>
                <w:webHidden/>
                <w:sz w:val="20"/>
                <w:szCs w:val="20"/>
              </w:rPr>
            </w:r>
            <w:r w:rsidR="00FC06CB" w:rsidRPr="008A14CC">
              <w:rPr>
                <w:rFonts w:ascii="Palatino Linotype" w:hAnsi="Palatino Linotype"/>
                <w:b/>
                <w:noProof/>
                <w:webHidden/>
                <w:sz w:val="20"/>
                <w:szCs w:val="20"/>
              </w:rPr>
              <w:fldChar w:fldCharType="separate"/>
            </w:r>
            <w:r w:rsidR="00FC06CB">
              <w:rPr>
                <w:rFonts w:ascii="Palatino Linotype" w:hAnsi="Palatino Linotype"/>
                <w:b/>
                <w:noProof/>
                <w:webHidden/>
                <w:sz w:val="20"/>
                <w:szCs w:val="20"/>
              </w:rPr>
              <w:t>3</w:t>
            </w:r>
            <w:r w:rsidR="00FC06CB" w:rsidRPr="008A14CC">
              <w:rPr>
                <w:rFonts w:ascii="Palatino Linotype" w:hAnsi="Palatino Linotype"/>
                <w:b/>
                <w:noProof/>
                <w:webHidden/>
                <w:sz w:val="20"/>
                <w:szCs w:val="20"/>
              </w:rPr>
              <w:fldChar w:fldCharType="end"/>
            </w:r>
          </w:hyperlink>
        </w:p>
        <w:p w:rsidR="00FC06CB" w:rsidRPr="008A14CC" w:rsidRDefault="0025577F" w:rsidP="00FC06CB">
          <w:pPr>
            <w:tabs>
              <w:tab w:val="left" w:pos="660"/>
              <w:tab w:val="right" w:leader="dot" w:pos="8828"/>
            </w:tabs>
            <w:spacing w:after="100"/>
            <w:ind w:left="284"/>
            <w:rPr>
              <w:rFonts w:ascii="Palatino Linotype" w:eastAsiaTheme="minorEastAsia" w:hAnsi="Palatino Linotype"/>
              <w:noProof/>
              <w:lang w:val="es-ES" w:eastAsia="es-ES"/>
            </w:rPr>
          </w:pPr>
          <w:hyperlink w:anchor="_Toc516449143" w:history="1">
            <w:r w:rsidR="00FC06CB" w:rsidRPr="008A14CC">
              <w:rPr>
                <w:rFonts w:ascii="Palatino Linotype" w:hAnsi="Palatino Linotype"/>
                <w:b/>
                <w:noProof/>
                <w:color w:val="0563C1" w:themeColor="hyperlink"/>
                <w:u w:val="single"/>
              </w:rPr>
              <w:t>III. Del Derecho de Acceso a la información pública y el deber de motivar.</w:t>
            </w:r>
            <w:r w:rsidR="00FC06CB" w:rsidRPr="008A14CC">
              <w:rPr>
                <w:rFonts w:ascii="Palatino Linotype" w:hAnsi="Palatino Linotype"/>
                <w:noProof/>
                <w:webHidden/>
              </w:rPr>
              <w:tab/>
            </w:r>
            <w:r w:rsidR="00FC06CB" w:rsidRPr="008A14CC">
              <w:rPr>
                <w:rFonts w:ascii="Palatino Linotype" w:hAnsi="Palatino Linotype"/>
                <w:noProof/>
                <w:webHidden/>
              </w:rPr>
              <w:fldChar w:fldCharType="begin"/>
            </w:r>
            <w:r w:rsidR="00FC06CB" w:rsidRPr="008A14CC">
              <w:rPr>
                <w:rFonts w:ascii="Palatino Linotype" w:hAnsi="Palatino Linotype"/>
                <w:noProof/>
                <w:webHidden/>
              </w:rPr>
              <w:instrText xml:space="preserve"> PAGEREF _Toc516449143 \h </w:instrText>
            </w:r>
            <w:r w:rsidR="00FC06CB" w:rsidRPr="008A14CC">
              <w:rPr>
                <w:rFonts w:ascii="Palatino Linotype" w:hAnsi="Palatino Linotype"/>
                <w:noProof/>
                <w:webHidden/>
              </w:rPr>
            </w:r>
            <w:r w:rsidR="00FC06CB" w:rsidRPr="008A14CC">
              <w:rPr>
                <w:rFonts w:ascii="Palatino Linotype" w:hAnsi="Palatino Linotype"/>
                <w:noProof/>
                <w:webHidden/>
              </w:rPr>
              <w:fldChar w:fldCharType="separate"/>
            </w:r>
            <w:r w:rsidR="00FC06CB">
              <w:rPr>
                <w:rFonts w:ascii="Palatino Linotype" w:hAnsi="Palatino Linotype"/>
                <w:noProof/>
                <w:webHidden/>
              </w:rPr>
              <w:t>7</w:t>
            </w:r>
            <w:r w:rsidR="00FC06CB" w:rsidRPr="008A14CC">
              <w:rPr>
                <w:rFonts w:ascii="Palatino Linotype" w:hAnsi="Palatino Linotype"/>
                <w:noProof/>
                <w:webHidden/>
              </w:rPr>
              <w:fldChar w:fldCharType="end"/>
            </w:r>
          </w:hyperlink>
        </w:p>
        <w:p w:rsidR="00FC06CB" w:rsidRPr="008A14CC" w:rsidRDefault="0025577F" w:rsidP="00FC06CB">
          <w:pPr>
            <w:tabs>
              <w:tab w:val="left" w:pos="440"/>
              <w:tab w:val="left" w:pos="880"/>
              <w:tab w:val="right" w:leader="dot" w:pos="8828"/>
            </w:tabs>
            <w:spacing w:after="100"/>
            <w:ind w:left="284"/>
            <w:jc w:val="both"/>
            <w:rPr>
              <w:rFonts w:ascii="Palatino Linotype" w:eastAsiaTheme="minorEastAsia" w:hAnsi="Palatino Linotype"/>
              <w:noProof/>
              <w:lang w:val="es-ES" w:eastAsia="es-ES"/>
            </w:rPr>
          </w:pPr>
          <w:hyperlink w:anchor="_Toc516449144" w:history="1">
            <w:r w:rsidR="00FC06CB" w:rsidRPr="008A14CC">
              <w:rPr>
                <w:rFonts w:ascii="Palatino Linotype" w:eastAsia="Calibri" w:hAnsi="Palatino Linotype"/>
                <w:b/>
                <w:noProof/>
                <w:color w:val="0563C1" w:themeColor="hyperlink"/>
                <w:sz w:val="20"/>
                <w:szCs w:val="20"/>
                <w:u w:val="single"/>
              </w:rPr>
              <w:t>IV. Del Principio de Gratuidad</w:t>
            </w:r>
            <w:r w:rsidR="00FC06CB" w:rsidRPr="008A14CC">
              <w:rPr>
                <w:rFonts w:ascii="Palatino Linotype" w:hAnsi="Palatino Linotype"/>
                <w:b/>
                <w:noProof/>
                <w:webHidden/>
                <w:sz w:val="20"/>
                <w:szCs w:val="20"/>
              </w:rPr>
              <w:tab/>
            </w:r>
            <w:r w:rsidR="00FC06CB" w:rsidRPr="008A14CC">
              <w:rPr>
                <w:rFonts w:ascii="Palatino Linotype" w:hAnsi="Palatino Linotype"/>
                <w:b/>
                <w:noProof/>
                <w:webHidden/>
                <w:sz w:val="20"/>
                <w:szCs w:val="20"/>
              </w:rPr>
              <w:fldChar w:fldCharType="begin"/>
            </w:r>
            <w:r w:rsidR="00FC06CB" w:rsidRPr="008A14CC">
              <w:rPr>
                <w:rFonts w:ascii="Palatino Linotype" w:hAnsi="Palatino Linotype"/>
                <w:b/>
                <w:noProof/>
                <w:webHidden/>
                <w:sz w:val="20"/>
                <w:szCs w:val="20"/>
              </w:rPr>
              <w:instrText xml:space="preserve"> PAGEREF _Toc516449144 \h </w:instrText>
            </w:r>
            <w:r w:rsidR="00FC06CB" w:rsidRPr="008A14CC">
              <w:rPr>
                <w:rFonts w:ascii="Palatino Linotype" w:hAnsi="Palatino Linotype"/>
                <w:b/>
                <w:noProof/>
                <w:webHidden/>
                <w:sz w:val="20"/>
                <w:szCs w:val="20"/>
              </w:rPr>
            </w:r>
            <w:r w:rsidR="00FC06CB" w:rsidRPr="008A14CC">
              <w:rPr>
                <w:rFonts w:ascii="Palatino Linotype" w:hAnsi="Palatino Linotype"/>
                <w:b/>
                <w:noProof/>
                <w:webHidden/>
                <w:sz w:val="20"/>
                <w:szCs w:val="20"/>
              </w:rPr>
              <w:fldChar w:fldCharType="separate"/>
            </w:r>
            <w:r w:rsidR="00FC06CB">
              <w:rPr>
                <w:rFonts w:ascii="Palatino Linotype" w:hAnsi="Palatino Linotype"/>
                <w:b/>
                <w:noProof/>
                <w:webHidden/>
                <w:sz w:val="20"/>
                <w:szCs w:val="20"/>
              </w:rPr>
              <w:t>13</w:t>
            </w:r>
            <w:r w:rsidR="00FC06CB" w:rsidRPr="008A14CC">
              <w:rPr>
                <w:rFonts w:ascii="Palatino Linotype" w:hAnsi="Palatino Linotype"/>
                <w:b/>
                <w:noProof/>
                <w:webHidden/>
                <w:sz w:val="20"/>
                <w:szCs w:val="20"/>
              </w:rPr>
              <w:fldChar w:fldCharType="end"/>
            </w:r>
          </w:hyperlink>
        </w:p>
        <w:p w:rsidR="00FC06CB" w:rsidRPr="008A14CC" w:rsidRDefault="0025577F" w:rsidP="00FC06CB">
          <w:pPr>
            <w:tabs>
              <w:tab w:val="left" w:pos="440"/>
              <w:tab w:val="left" w:pos="880"/>
              <w:tab w:val="right" w:leader="dot" w:pos="8828"/>
            </w:tabs>
            <w:spacing w:after="100"/>
            <w:ind w:left="284"/>
            <w:jc w:val="both"/>
            <w:rPr>
              <w:rFonts w:ascii="Palatino Linotype" w:eastAsiaTheme="minorEastAsia" w:hAnsi="Palatino Linotype"/>
              <w:noProof/>
              <w:lang w:val="es-ES" w:eastAsia="es-ES"/>
            </w:rPr>
          </w:pPr>
          <w:hyperlink w:anchor="_Toc516449145" w:history="1">
            <w:r w:rsidR="00FC06CB" w:rsidRPr="008A14CC">
              <w:rPr>
                <w:rFonts w:ascii="Palatino Linotype" w:hAnsi="Palatino Linotype" w:cs="Arial"/>
                <w:b/>
                <w:bCs/>
                <w:noProof/>
                <w:color w:val="0563C1" w:themeColor="hyperlink"/>
                <w:sz w:val="20"/>
                <w:szCs w:val="20"/>
                <w:u w:val="single"/>
              </w:rPr>
              <w:t xml:space="preserve">V. Del principio </w:t>
            </w:r>
            <w:r w:rsidR="00FC06CB" w:rsidRPr="008A14CC">
              <w:rPr>
                <w:rFonts w:ascii="Palatino Linotype" w:hAnsi="Palatino Linotype" w:cs="Arial"/>
                <w:b/>
                <w:bCs/>
                <w:i/>
                <w:noProof/>
                <w:color w:val="0563C1" w:themeColor="hyperlink"/>
                <w:sz w:val="20"/>
                <w:szCs w:val="20"/>
                <w:u w:val="single"/>
              </w:rPr>
              <w:t>pro persona.</w:t>
            </w:r>
            <w:r w:rsidR="00FC06CB" w:rsidRPr="008A14CC">
              <w:rPr>
                <w:rFonts w:ascii="Palatino Linotype" w:hAnsi="Palatino Linotype"/>
                <w:b/>
                <w:noProof/>
                <w:webHidden/>
                <w:sz w:val="20"/>
                <w:szCs w:val="20"/>
              </w:rPr>
              <w:tab/>
            </w:r>
            <w:r w:rsidR="00FC06CB" w:rsidRPr="008A14CC">
              <w:rPr>
                <w:rFonts w:ascii="Palatino Linotype" w:hAnsi="Palatino Linotype"/>
                <w:b/>
                <w:noProof/>
                <w:webHidden/>
                <w:sz w:val="20"/>
                <w:szCs w:val="20"/>
              </w:rPr>
              <w:fldChar w:fldCharType="begin"/>
            </w:r>
            <w:r w:rsidR="00FC06CB" w:rsidRPr="008A14CC">
              <w:rPr>
                <w:rFonts w:ascii="Palatino Linotype" w:hAnsi="Palatino Linotype"/>
                <w:b/>
                <w:noProof/>
                <w:webHidden/>
                <w:sz w:val="20"/>
                <w:szCs w:val="20"/>
              </w:rPr>
              <w:instrText xml:space="preserve"> PAGEREF _Toc516449145 \h </w:instrText>
            </w:r>
            <w:r w:rsidR="00FC06CB" w:rsidRPr="008A14CC">
              <w:rPr>
                <w:rFonts w:ascii="Palatino Linotype" w:hAnsi="Palatino Linotype"/>
                <w:b/>
                <w:noProof/>
                <w:webHidden/>
                <w:sz w:val="20"/>
                <w:szCs w:val="20"/>
              </w:rPr>
            </w:r>
            <w:r w:rsidR="00FC06CB" w:rsidRPr="008A14CC">
              <w:rPr>
                <w:rFonts w:ascii="Palatino Linotype" w:hAnsi="Palatino Linotype"/>
                <w:b/>
                <w:noProof/>
                <w:webHidden/>
                <w:sz w:val="20"/>
                <w:szCs w:val="20"/>
              </w:rPr>
              <w:fldChar w:fldCharType="separate"/>
            </w:r>
            <w:r w:rsidR="00FC06CB">
              <w:rPr>
                <w:rFonts w:ascii="Palatino Linotype" w:hAnsi="Palatino Linotype"/>
                <w:b/>
                <w:noProof/>
                <w:webHidden/>
                <w:sz w:val="20"/>
                <w:szCs w:val="20"/>
              </w:rPr>
              <w:t>18</w:t>
            </w:r>
            <w:r w:rsidR="00FC06CB" w:rsidRPr="008A14CC">
              <w:rPr>
                <w:rFonts w:ascii="Palatino Linotype" w:hAnsi="Palatino Linotype"/>
                <w:b/>
                <w:noProof/>
                <w:webHidden/>
                <w:sz w:val="20"/>
                <w:szCs w:val="20"/>
              </w:rPr>
              <w:fldChar w:fldCharType="end"/>
            </w:r>
          </w:hyperlink>
        </w:p>
        <w:p w:rsidR="00FC06CB" w:rsidRPr="008A14CC" w:rsidRDefault="0025577F" w:rsidP="00FC06CB">
          <w:pPr>
            <w:tabs>
              <w:tab w:val="left" w:pos="440"/>
              <w:tab w:val="left" w:pos="880"/>
              <w:tab w:val="right" w:leader="dot" w:pos="8828"/>
            </w:tabs>
            <w:spacing w:after="100"/>
            <w:ind w:left="284"/>
            <w:jc w:val="both"/>
            <w:rPr>
              <w:rFonts w:ascii="Palatino Linotype" w:eastAsiaTheme="minorEastAsia" w:hAnsi="Palatino Linotype"/>
              <w:noProof/>
              <w:lang w:val="es-ES" w:eastAsia="es-ES"/>
            </w:rPr>
          </w:pPr>
          <w:hyperlink w:anchor="_Toc516449146" w:history="1">
            <w:r w:rsidR="00FC06CB" w:rsidRPr="008A14CC">
              <w:rPr>
                <w:rFonts w:ascii="Palatino Linotype" w:eastAsia="Calibri" w:hAnsi="Palatino Linotype"/>
                <w:b/>
                <w:noProof/>
                <w:color w:val="0563C1" w:themeColor="hyperlink"/>
                <w:sz w:val="20"/>
                <w:szCs w:val="20"/>
                <w:u w:val="single"/>
              </w:rPr>
              <w:t>VI. Conclusión.</w:t>
            </w:r>
            <w:r w:rsidR="00FC06CB" w:rsidRPr="008A14CC">
              <w:rPr>
                <w:rFonts w:ascii="Palatino Linotype" w:hAnsi="Palatino Linotype"/>
                <w:b/>
                <w:noProof/>
                <w:webHidden/>
                <w:sz w:val="20"/>
                <w:szCs w:val="20"/>
              </w:rPr>
              <w:tab/>
            </w:r>
            <w:r w:rsidR="00FC06CB" w:rsidRPr="008A14CC">
              <w:rPr>
                <w:rFonts w:ascii="Palatino Linotype" w:hAnsi="Palatino Linotype"/>
                <w:b/>
                <w:noProof/>
                <w:webHidden/>
                <w:sz w:val="20"/>
                <w:szCs w:val="20"/>
              </w:rPr>
              <w:fldChar w:fldCharType="begin"/>
            </w:r>
            <w:r w:rsidR="00FC06CB" w:rsidRPr="008A14CC">
              <w:rPr>
                <w:rFonts w:ascii="Palatino Linotype" w:hAnsi="Palatino Linotype"/>
                <w:b/>
                <w:noProof/>
                <w:webHidden/>
                <w:sz w:val="20"/>
                <w:szCs w:val="20"/>
              </w:rPr>
              <w:instrText xml:space="preserve"> PAGEREF _Toc516449146 \h </w:instrText>
            </w:r>
            <w:r w:rsidR="00FC06CB" w:rsidRPr="008A14CC">
              <w:rPr>
                <w:rFonts w:ascii="Palatino Linotype" w:hAnsi="Palatino Linotype"/>
                <w:b/>
                <w:noProof/>
                <w:webHidden/>
                <w:sz w:val="20"/>
                <w:szCs w:val="20"/>
              </w:rPr>
            </w:r>
            <w:r w:rsidR="00FC06CB" w:rsidRPr="008A14CC">
              <w:rPr>
                <w:rFonts w:ascii="Palatino Linotype" w:hAnsi="Palatino Linotype"/>
                <w:b/>
                <w:noProof/>
                <w:webHidden/>
                <w:sz w:val="20"/>
                <w:szCs w:val="20"/>
              </w:rPr>
              <w:fldChar w:fldCharType="separate"/>
            </w:r>
            <w:r w:rsidR="00FC06CB">
              <w:rPr>
                <w:rFonts w:ascii="Palatino Linotype" w:hAnsi="Palatino Linotype"/>
                <w:b/>
                <w:noProof/>
                <w:webHidden/>
                <w:sz w:val="20"/>
                <w:szCs w:val="20"/>
              </w:rPr>
              <w:t>29</w:t>
            </w:r>
            <w:r w:rsidR="00FC06CB" w:rsidRPr="008A14CC">
              <w:rPr>
                <w:rFonts w:ascii="Palatino Linotype" w:hAnsi="Palatino Linotype"/>
                <w:b/>
                <w:noProof/>
                <w:webHidden/>
                <w:sz w:val="20"/>
                <w:szCs w:val="20"/>
              </w:rPr>
              <w:fldChar w:fldCharType="end"/>
            </w:r>
          </w:hyperlink>
        </w:p>
        <w:p w:rsidR="00FC06CB" w:rsidRPr="008A14CC" w:rsidRDefault="00FC06CB" w:rsidP="00FC06CB">
          <w:pPr>
            <w:spacing w:line="360" w:lineRule="auto"/>
            <w:rPr>
              <w:rFonts w:ascii="Palatino Linotype" w:hAnsi="Palatino Linotype"/>
              <w:b/>
              <w:bCs/>
              <w:sz w:val="24"/>
              <w:szCs w:val="24"/>
              <w:lang w:val="es-ES"/>
            </w:rPr>
          </w:pPr>
          <w:r w:rsidRPr="008A14CC">
            <w:rPr>
              <w:rFonts w:ascii="Palatino Linotype" w:hAnsi="Palatino Linotype"/>
              <w:b/>
              <w:bCs/>
              <w:sz w:val="24"/>
              <w:szCs w:val="24"/>
              <w:lang w:val="es-ES"/>
            </w:rPr>
            <w:fldChar w:fldCharType="end"/>
          </w:r>
        </w:p>
        <w:p w:rsidR="00FC06CB" w:rsidRDefault="00FC06CB" w:rsidP="00FC06CB">
          <w:pPr>
            <w:spacing w:line="360" w:lineRule="auto"/>
            <w:rPr>
              <w:rFonts w:ascii="Palatino Linotype" w:hAnsi="Palatino Linotype"/>
              <w:sz w:val="24"/>
              <w:szCs w:val="24"/>
            </w:rPr>
          </w:pPr>
        </w:p>
        <w:p w:rsidR="00FC06CB" w:rsidRPr="00FC06CB" w:rsidRDefault="0025577F" w:rsidP="00FC06CB">
          <w:pPr>
            <w:spacing w:line="360" w:lineRule="auto"/>
            <w:rPr>
              <w:rFonts w:ascii="Palatino Linotype" w:hAnsi="Palatino Linotype"/>
              <w:sz w:val="24"/>
              <w:szCs w:val="24"/>
            </w:rPr>
          </w:pPr>
        </w:p>
      </w:sdtContent>
    </w:sdt>
    <w:bookmarkStart w:id="1" w:name="_Toc516449141" w:displacedByCustomXml="prev"/>
    <w:p w:rsidR="00FC06CB" w:rsidRPr="008A14CC" w:rsidRDefault="00FC06CB" w:rsidP="00FC06CB">
      <w:pPr>
        <w:keepNext/>
        <w:keepLines/>
        <w:numPr>
          <w:ilvl w:val="0"/>
          <w:numId w:val="2"/>
        </w:numPr>
        <w:spacing w:before="240" w:after="0"/>
        <w:outlineLvl w:val="0"/>
        <w:rPr>
          <w:rFonts w:ascii="Palatino Linotype" w:eastAsia="Times New Roman" w:hAnsi="Palatino Linotype" w:cstheme="majorBidi"/>
          <w:b/>
          <w:sz w:val="24"/>
          <w:szCs w:val="24"/>
        </w:rPr>
      </w:pPr>
      <w:r w:rsidRPr="008A14CC">
        <w:rPr>
          <w:rFonts w:ascii="Palatino Linotype" w:eastAsia="Times New Roman" w:hAnsi="Palatino Linotype" w:cstheme="majorBidi"/>
          <w:b/>
          <w:sz w:val="24"/>
          <w:szCs w:val="24"/>
        </w:rPr>
        <w:lastRenderedPageBreak/>
        <w:t>Consideraciones Generales</w:t>
      </w:r>
      <w:bookmarkEnd w:id="1"/>
    </w:p>
    <w:p w:rsidR="00FC06CB" w:rsidRPr="008A14CC" w:rsidRDefault="00FC06CB" w:rsidP="00FC06CB">
      <w:pPr>
        <w:tabs>
          <w:tab w:val="left" w:pos="440"/>
          <w:tab w:val="left" w:pos="880"/>
          <w:tab w:val="right" w:leader="dot" w:pos="8828"/>
        </w:tabs>
        <w:spacing w:after="100"/>
        <w:jc w:val="both"/>
        <w:rPr>
          <w:rFonts w:ascii="Palatino Linotype" w:hAnsi="Palatino Linotype"/>
          <w:b/>
          <w:noProof/>
          <w:sz w:val="24"/>
          <w:szCs w:val="24"/>
          <w:lang w:val="es-ES"/>
        </w:rPr>
      </w:pPr>
    </w:p>
    <w:p w:rsidR="00FC06CB" w:rsidRPr="008A14CC" w:rsidRDefault="00FC06CB" w:rsidP="00FC06CB">
      <w:pPr>
        <w:numPr>
          <w:ilvl w:val="0"/>
          <w:numId w:val="1"/>
        </w:numPr>
        <w:spacing w:after="0" w:line="360" w:lineRule="auto"/>
        <w:contextualSpacing/>
        <w:jc w:val="both"/>
        <w:rPr>
          <w:rFonts w:ascii="Palatino Linotype" w:eastAsia="Calibri" w:hAnsi="Palatino Linotype" w:cs="Arial"/>
          <w:sz w:val="24"/>
          <w:szCs w:val="24"/>
        </w:rPr>
      </w:pPr>
      <w:r w:rsidRPr="008A14CC">
        <w:rPr>
          <w:rFonts w:ascii="Palatino Linotype" w:eastAsia="Times New Roman" w:hAnsi="Palatino Linotype" w:cs="Arial"/>
          <w:sz w:val="24"/>
          <w:szCs w:val="24"/>
          <w:lang w:val="es-ES_tradnl"/>
        </w:rPr>
        <w:t xml:space="preserve">He concurrido con mi voto particular de la presente resolución emitida </w:t>
      </w:r>
      <w:r w:rsidRPr="008A14CC">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Pr>
          <w:rFonts w:ascii="Palatino Linotype" w:eastAsia="Calibri" w:hAnsi="Palatino Linotype" w:cs="Arial"/>
          <w:sz w:val="24"/>
          <w:szCs w:val="24"/>
        </w:rPr>
        <w:t>Trigémina Tercera</w:t>
      </w:r>
      <w:r w:rsidRPr="008A14CC">
        <w:rPr>
          <w:rFonts w:ascii="Palatino Linotype" w:eastAsia="Calibri" w:hAnsi="Palatino Linotype" w:cs="Arial"/>
          <w:sz w:val="24"/>
          <w:szCs w:val="24"/>
        </w:rPr>
        <w:t xml:space="preserve"> Sesión Ordinaria celebrada el día </w:t>
      </w:r>
      <w:r>
        <w:rPr>
          <w:rFonts w:ascii="Palatino Linotype" w:eastAsia="Calibri" w:hAnsi="Palatino Linotype" w:cs="Arial"/>
          <w:sz w:val="24"/>
          <w:szCs w:val="24"/>
        </w:rPr>
        <w:t>doce</w:t>
      </w:r>
      <w:r w:rsidRPr="008A14CC">
        <w:rPr>
          <w:rFonts w:ascii="Palatino Linotype" w:eastAsia="Calibri" w:hAnsi="Palatino Linotype" w:cs="Arial"/>
          <w:sz w:val="24"/>
          <w:szCs w:val="24"/>
        </w:rPr>
        <w:t xml:space="preserve"> (</w:t>
      </w:r>
      <w:r>
        <w:rPr>
          <w:rFonts w:ascii="Palatino Linotype" w:eastAsia="Calibri" w:hAnsi="Palatino Linotype" w:cs="Arial"/>
          <w:sz w:val="24"/>
          <w:szCs w:val="24"/>
        </w:rPr>
        <w:t>12</w:t>
      </w:r>
      <w:r w:rsidRPr="008A14CC">
        <w:rPr>
          <w:rFonts w:ascii="Palatino Linotype" w:eastAsia="Calibri" w:hAnsi="Palatino Linotype" w:cs="Arial"/>
          <w:sz w:val="24"/>
          <w:szCs w:val="24"/>
        </w:rPr>
        <w:t xml:space="preserve">) de </w:t>
      </w:r>
      <w:r>
        <w:rPr>
          <w:rFonts w:ascii="Palatino Linotype" w:eastAsia="Calibri" w:hAnsi="Palatino Linotype" w:cs="Arial"/>
          <w:sz w:val="24"/>
          <w:szCs w:val="24"/>
        </w:rPr>
        <w:t>septiembre</w:t>
      </w:r>
      <w:r w:rsidRPr="008A14CC">
        <w:rPr>
          <w:rFonts w:ascii="Palatino Linotype" w:eastAsia="Calibri" w:hAnsi="Palatino Linotype" w:cs="Arial"/>
          <w:sz w:val="24"/>
          <w:szCs w:val="24"/>
        </w:rPr>
        <w:t xml:space="preserve"> del dos mil dieciocho, en los recursos de revisión interpuestos por </w:t>
      </w:r>
      <w:r w:rsidR="00914E67" w:rsidRPr="00914E67">
        <w:rPr>
          <w:rFonts w:ascii="Palatino Linotype" w:eastAsia="Calibri" w:hAnsi="Palatino Linotype" w:cs="Times New Roman"/>
          <w:b/>
          <w:sz w:val="23"/>
          <w:szCs w:val="23"/>
          <w:highlight w:val="black"/>
        </w:rPr>
        <w:t>-----------------------------------------</w:t>
      </w:r>
      <w:r w:rsidRPr="008A14CC">
        <w:rPr>
          <w:rFonts w:ascii="Palatino Linotype" w:hAnsi="Palatino Linotype" w:cs="Arial"/>
          <w:b/>
          <w:sz w:val="24"/>
          <w:szCs w:val="24"/>
        </w:rPr>
        <w:t xml:space="preserve">, </w:t>
      </w:r>
      <w:r w:rsidRPr="008A14CC">
        <w:rPr>
          <w:rFonts w:ascii="Palatino Linotype" w:eastAsia="Calibri" w:hAnsi="Palatino Linotype" w:cs="Arial"/>
          <w:sz w:val="24"/>
          <w:szCs w:val="24"/>
        </w:rPr>
        <w:t xml:space="preserve">en contra de la respuesta de la </w:t>
      </w:r>
      <w:r w:rsidRPr="008A14CC">
        <w:rPr>
          <w:rFonts w:ascii="Palatino Linotype" w:eastAsia="Calibri" w:hAnsi="Palatino Linotype" w:cs="Arial"/>
          <w:b/>
          <w:sz w:val="24"/>
          <w:szCs w:val="24"/>
        </w:rPr>
        <w:t>Universidad Politécnica del Valle de Toluca</w:t>
      </w:r>
      <w:r w:rsidRPr="008A14CC">
        <w:rPr>
          <w:rFonts w:ascii="Palatino Linotype" w:hAnsi="Palatino Linotype" w:cs="Arial"/>
          <w:b/>
          <w:sz w:val="24"/>
          <w:szCs w:val="24"/>
        </w:rPr>
        <w:t xml:space="preserve">, </w:t>
      </w:r>
      <w:r w:rsidRPr="008A14CC">
        <w:rPr>
          <w:rFonts w:ascii="Palatino Linotype" w:eastAsia="Calibri" w:hAnsi="Palatino Linotype" w:cs="Arial"/>
          <w:sz w:val="24"/>
          <w:szCs w:val="24"/>
        </w:rPr>
        <w:t xml:space="preserve">procedimiento que le fue asignado el número de expediente </w:t>
      </w:r>
      <w:r w:rsidRPr="008A14CC">
        <w:rPr>
          <w:rFonts w:ascii="Palatino Linotype" w:eastAsia="Calibri" w:hAnsi="Palatino Linotype" w:cs="Times New Roman"/>
          <w:b/>
          <w:sz w:val="23"/>
          <w:szCs w:val="23"/>
        </w:rPr>
        <w:t>02365/INFOEM/IP/RR/2018</w:t>
      </w:r>
      <w:r w:rsidRPr="008A14CC">
        <w:rPr>
          <w:rFonts w:ascii="Palatino Linotype" w:hAnsi="Palatino Linotype" w:cs="Arial"/>
          <w:bCs/>
        </w:rPr>
        <w:t>, y sus acumulados</w:t>
      </w:r>
      <w:r w:rsidRPr="008A14CC">
        <w:rPr>
          <w:rFonts w:ascii="Palatino Linotype" w:eastAsia="Calibri" w:hAnsi="Palatino Linotype" w:cs="Times New Roman"/>
          <w:b/>
          <w:sz w:val="23"/>
          <w:szCs w:val="23"/>
        </w:rPr>
        <w:t xml:space="preserve"> 02366/INFOEM/IP/RR/2018</w:t>
      </w:r>
      <w:r w:rsidRPr="008A14CC">
        <w:rPr>
          <w:rFonts w:ascii="Palatino Linotype" w:eastAsia="Calibri" w:hAnsi="Palatino Linotype" w:cs="Times New Roman"/>
          <w:sz w:val="23"/>
          <w:szCs w:val="23"/>
        </w:rPr>
        <w:t>,</w:t>
      </w:r>
      <w:r w:rsidRPr="008A14CC">
        <w:rPr>
          <w:rFonts w:ascii="Palatino Linotype" w:eastAsia="Calibri" w:hAnsi="Palatino Linotype" w:cs="Times New Roman"/>
          <w:b/>
          <w:sz w:val="23"/>
          <w:szCs w:val="23"/>
        </w:rPr>
        <w:t xml:space="preserve"> 02528/INFOEM/IP/RR/2018</w:t>
      </w:r>
      <w:r w:rsidRPr="008A14CC">
        <w:rPr>
          <w:rFonts w:ascii="Palatino Linotype" w:eastAsia="Calibri" w:hAnsi="Palatino Linotype" w:cs="Times New Roman"/>
          <w:sz w:val="23"/>
          <w:szCs w:val="23"/>
        </w:rPr>
        <w:t>,</w:t>
      </w:r>
      <w:r w:rsidRPr="008A14CC">
        <w:rPr>
          <w:rFonts w:ascii="Palatino Linotype" w:eastAsia="Calibri" w:hAnsi="Palatino Linotype" w:cs="Times New Roman"/>
          <w:b/>
          <w:sz w:val="23"/>
          <w:szCs w:val="23"/>
        </w:rPr>
        <w:t xml:space="preserve"> 02529/INFOEM/IP/RR/2018</w:t>
      </w:r>
      <w:r w:rsidRPr="008A14CC">
        <w:rPr>
          <w:rFonts w:ascii="Palatino Linotype" w:eastAsia="Calibri" w:hAnsi="Palatino Linotype" w:cs="Times New Roman"/>
          <w:sz w:val="23"/>
          <w:szCs w:val="23"/>
        </w:rPr>
        <w:t>,</w:t>
      </w:r>
      <w:r w:rsidRPr="008A14CC">
        <w:rPr>
          <w:rFonts w:ascii="Palatino Linotype" w:eastAsia="Calibri" w:hAnsi="Palatino Linotype" w:cs="Times New Roman"/>
          <w:b/>
          <w:sz w:val="23"/>
          <w:szCs w:val="23"/>
        </w:rPr>
        <w:t xml:space="preserve"> 02530/INFOEM/IP/RR/2018</w:t>
      </w:r>
      <w:r w:rsidRPr="008A14CC">
        <w:rPr>
          <w:rFonts w:ascii="Palatino Linotype" w:eastAsia="Calibri" w:hAnsi="Palatino Linotype" w:cs="Times New Roman"/>
          <w:sz w:val="23"/>
          <w:szCs w:val="23"/>
        </w:rPr>
        <w:t>,</w:t>
      </w:r>
      <w:r w:rsidRPr="008A14CC">
        <w:rPr>
          <w:rFonts w:ascii="Palatino Linotype" w:eastAsia="Calibri" w:hAnsi="Palatino Linotype" w:cs="Times New Roman"/>
          <w:b/>
          <w:sz w:val="23"/>
          <w:szCs w:val="23"/>
        </w:rPr>
        <w:t xml:space="preserve"> 02531/INFOEM/IP/RR/2018</w:t>
      </w:r>
      <w:r w:rsidRPr="008A14CC">
        <w:rPr>
          <w:rFonts w:ascii="Palatino Linotype" w:eastAsia="Calibri" w:hAnsi="Palatino Linotype" w:cs="Times New Roman"/>
          <w:sz w:val="23"/>
          <w:szCs w:val="23"/>
        </w:rPr>
        <w:t>,</w:t>
      </w:r>
      <w:r w:rsidRPr="008A14CC">
        <w:rPr>
          <w:rFonts w:ascii="Palatino Linotype" w:eastAsia="Calibri" w:hAnsi="Palatino Linotype" w:cs="Times New Roman"/>
          <w:b/>
          <w:sz w:val="23"/>
          <w:szCs w:val="23"/>
        </w:rPr>
        <w:t xml:space="preserve"> 02532/INFOEM/IP/RR/2018</w:t>
      </w:r>
      <w:r w:rsidRPr="008A14CC">
        <w:rPr>
          <w:rFonts w:ascii="Palatino Linotype" w:eastAsia="Calibri" w:hAnsi="Palatino Linotype" w:cs="Times New Roman"/>
          <w:sz w:val="23"/>
          <w:szCs w:val="23"/>
        </w:rPr>
        <w:t>,</w:t>
      </w:r>
      <w:r w:rsidRPr="008A14CC">
        <w:rPr>
          <w:rFonts w:ascii="Palatino Linotype" w:eastAsia="Calibri" w:hAnsi="Palatino Linotype" w:cs="Times New Roman"/>
          <w:b/>
          <w:sz w:val="23"/>
          <w:szCs w:val="23"/>
        </w:rPr>
        <w:t xml:space="preserve"> 02533/INFOEM/IP/RR/2018</w:t>
      </w:r>
      <w:r w:rsidRPr="008A14CC">
        <w:rPr>
          <w:rFonts w:ascii="Palatino Linotype" w:eastAsia="Calibri" w:hAnsi="Palatino Linotype" w:cs="Times New Roman"/>
          <w:sz w:val="23"/>
          <w:szCs w:val="23"/>
        </w:rPr>
        <w:t xml:space="preserve">, </w:t>
      </w:r>
      <w:r w:rsidRPr="008A14CC">
        <w:rPr>
          <w:rFonts w:ascii="Palatino Linotype" w:eastAsia="Calibri" w:hAnsi="Palatino Linotype" w:cs="Times New Roman"/>
          <w:b/>
          <w:sz w:val="23"/>
          <w:szCs w:val="23"/>
        </w:rPr>
        <w:t>02534/INFOEM/IP/RR/2018</w:t>
      </w:r>
      <w:r w:rsidRPr="008A14CC">
        <w:rPr>
          <w:rFonts w:ascii="Palatino Linotype" w:eastAsia="Calibri" w:hAnsi="Palatino Linotype" w:cs="Times New Roman"/>
          <w:sz w:val="23"/>
          <w:szCs w:val="23"/>
        </w:rPr>
        <w:t xml:space="preserve">, </w:t>
      </w:r>
      <w:r w:rsidRPr="008A14CC">
        <w:rPr>
          <w:rFonts w:ascii="Palatino Linotype" w:eastAsia="Calibri" w:hAnsi="Palatino Linotype" w:cs="Times New Roman"/>
          <w:b/>
          <w:sz w:val="23"/>
          <w:szCs w:val="23"/>
        </w:rPr>
        <w:t>02535/INFOEM/IP/RR/2018</w:t>
      </w:r>
      <w:r w:rsidRPr="008A14CC">
        <w:rPr>
          <w:rFonts w:ascii="Palatino Linotype" w:eastAsia="Calibri" w:hAnsi="Palatino Linotype" w:cs="Times New Roman"/>
          <w:sz w:val="23"/>
          <w:szCs w:val="23"/>
        </w:rPr>
        <w:t xml:space="preserve">, </w:t>
      </w:r>
      <w:r w:rsidRPr="008A14CC">
        <w:rPr>
          <w:rFonts w:ascii="Palatino Linotype" w:eastAsia="Calibri" w:hAnsi="Palatino Linotype" w:cs="Times New Roman"/>
          <w:b/>
          <w:sz w:val="23"/>
          <w:szCs w:val="23"/>
        </w:rPr>
        <w:t xml:space="preserve">02537/INFOEM/IP/RR/2018 </w:t>
      </w:r>
      <w:r w:rsidRPr="008A14CC">
        <w:rPr>
          <w:rFonts w:ascii="Palatino Linotype" w:eastAsia="Calibri" w:hAnsi="Palatino Linotype" w:cs="Times New Roman"/>
          <w:sz w:val="23"/>
          <w:szCs w:val="23"/>
        </w:rPr>
        <w:t>y</w:t>
      </w:r>
      <w:r w:rsidRPr="008A14CC">
        <w:rPr>
          <w:rFonts w:ascii="Palatino Linotype" w:eastAsia="Calibri" w:hAnsi="Palatino Linotype" w:cs="Times New Roman"/>
          <w:b/>
          <w:sz w:val="23"/>
          <w:szCs w:val="23"/>
        </w:rPr>
        <w:t xml:space="preserve"> 02538/INFOEM/IP/RR/2018</w:t>
      </w:r>
      <w:r>
        <w:rPr>
          <w:rFonts w:ascii="Palatino Linotype" w:eastAsia="Calibri" w:hAnsi="Palatino Linotype" w:cs="Times New Roman"/>
          <w:b/>
          <w:sz w:val="23"/>
          <w:szCs w:val="23"/>
        </w:rPr>
        <w:t>.</w:t>
      </w:r>
    </w:p>
    <w:p w:rsidR="00FC06CB" w:rsidRPr="008A14CC" w:rsidRDefault="00FC06CB" w:rsidP="00FC06CB">
      <w:pPr>
        <w:spacing w:after="0" w:line="360" w:lineRule="auto"/>
        <w:contextualSpacing/>
        <w:jc w:val="both"/>
        <w:rPr>
          <w:rFonts w:ascii="Palatino Linotype" w:eastAsia="Calibri" w:hAnsi="Palatino Linotype" w:cs="Arial"/>
          <w:sz w:val="24"/>
          <w:szCs w:val="24"/>
        </w:rPr>
      </w:pPr>
    </w:p>
    <w:p w:rsidR="00FC06CB" w:rsidRPr="008A14CC" w:rsidRDefault="00FC06CB" w:rsidP="00FC06CB">
      <w:pPr>
        <w:numPr>
          <w:ilvl w:val="0"/>
          <w:numId w:val="1"/>
        </w:numPr>
        <w:spacing w:after="0" w:line="360" w:lineRule="auto"/>
        <w:contextualSpacing/>
        <w:jc w:val="both"/>
        <w:rPr>
          <w:rFonts w:ascii="Palatino Linotype" w:eastAsia="Calibri" w:hAnsi="Palatino Linotype" w:cs="Arial"/>
          <w:sz w:val="24"/>
          <w:szCs w:val="24"/>
        </w:rPr>
      </w:pPr>
      <w:r w:rsidRPr="008A14CC">
        <w:rPr>
          <w:rFonts w:ascii="Palatino Linotype" w:eastAsia="Calibri" w:hAnsi="Palatino Linotype" w:cs="Arial"/>
          <w:sz w:val="24"/>
          <w:szCs w:val="24"/>
        </w:rPr>
        <w:t xml:space="preserve">La resolución determina </w:t>
      </w:r>
      <w:r>
        <w:rPr>
          <w:rFonts w:ascii="Palatino Linotype" w:eastAsia="Calibri" w:hAnsi="Palatino Linotype" w:cs="Arial"/>
          <w:b/>
          <w:sz w:val="24"/>
          <w:szCs w:val="24"/>
        </w:rPr>
        <w:t xml:space="preserve">MODIFICAR </w:t>
      </w:r>
      <w:r w:rsidRPr="008A14CC">
        <w:rPr>
          <w:rFonts w:ascii="Palatino Linotype" w:eastAsia="Calibri" w:hAnsi="Palatino Linotype" w:cs="Arial"/>
          <w:sz w:val="24"/>
          <w:szCs w:val="24"/>
        </w:rPr>
        <w:t xml:space="preserve">la respuesta y ordenar la entrega de información, tomando en consideración la respuesta del </w:t>
      </w:r>
      <w:r w:rsidRPr="008A14CC">
        <w:rPr>
          <w:rFonts w:ascii="Palatino Linotype" w:eastAsia="Calibri" w:hAnsi="Palatino Linotype" w:cs="Arial"/>
          <w:b/>
          <w:sz w:val="24"/>
          <w:szCs w:val="24"/>
        </w:rPr>
        <w:t>SUJETO OBLIGADO</w:t>
      </w:r>
      <w:r w:rsidRPr="008A14CC">
        <w:rPr>
          <w:rFonts w:ascii="Palatino Linotype" w:eastAsia="Calibri" w:hAnsi="Palatino Linotype" w:cs="Arial"/>
          <w:sz w:val="24"/>
          <w:szCs w:val="24"/>
        </w:rPr>
        <w:t>.</w:t>
      </w:r>
    </w:p>
    <w:p w:rsidR="00FC06CB" w:rsidRPr="008A14CC" w:rsidRDefault="00FC06CB" w:rsidP="00FC06CB">
      <w:pPr>
        <w:spacing w:after="0" w:line="360" w:lineRule="auto"/>
        <w:contextualSpacing/>
        <w:jc w:val="both"/>
        <w:rPr>
          <w:rFonts w:ascii="Palatino Linotype" w:eastAsia="Calibri" w:hAnsi="Palatino Linotype" w:cs="Arial"/>
          <w:sz w:val="24"/>
          <w:szCs w:val="24"/>
        </w:rPr>
      </w:pPr>
    </w:p>
    <w:p w:rsidR="00FC06CB" w:rsidRPr="008A14CC" w:rsidRDefault="00FC06CB" w:rsidP="00FC06CB">
      <w:pPr>
        <w:numPr>
          <w:ilvl w:val="0"/>
          <w:numId w:val="1"/>
        </w:numPr>
        <w:spacing w:after="0" w:line="360" w:lineRule="auto"/>
        <w:contextualSpacing/>
        <w:jc w:val="both"/>
        <w:rPr>
          <w:rFonts w:ascii="Palatino Linotype" w:eastAsia="Calibri" w:hAnsi="Palatino Linotype" w:cs="Arial"/>
          <w:sz w:val="24"/>
          <w:szCs w:val="24"/>
          <w:lang w:val="es-ES"/>
        </w:rPr>
      </w:pPr>
      <w:r w:rsidRPr="008A14CC">
        <w:rPr>
          <w:rFonts w:ascii="Palatino Linotype" w:eastAsia="Calibri" w:hAnsi="Palatino Linotype" w:cs="Arial"/>
          <w:sz w:val="24"/>
          <w:szCs w:val="24"/>
        </w:rPr>
        <w:t>Estando de acuerdo con la resolución formulada por la comisionada ponente, mi voto particular se deriva de</w:t>
      </w:r>
      <w:r w:rsidRPr="008A14CC">
        <w:rPr>
          <w:rFonts w:ascii="Palatino Linotype" w:eastAsia="Calibri" w:hAnsi="Palatino Linotype" w:cs="Arial"/>
          <w:sz w:val="24"/>
          <w:szCs w:val="24"/>
          <w:lang w:val="es-ES"/>
        </w:rPr>
        <w:t xml:space="preserve"> la pretensión de cobro por digitalización que el </w:t>
      </w:r>
      <w:r w:rsidRPr="008A14CC">
        <w:rPr>
          <w:rFonts w:ascii="Palatino Linotype" w:eastAsia="Calibri" w:hAnsi="Palatino Linotype" w:cs="Arial"/>
          <w:b/>
          <w:sz w:val="24"/>
          <w:szCs w:val="24"/>
          <w:lang w:val="es-ES"/>
        </w:rPr>
        <w:t>SUJETO OBLIGADO</w:t>
      </w:r>
      <w:r w:rsidRPr="008A14CC">
        <w:rPr>
          <w:rFonts w:ascii="Palatino Linotype" w:eastAsia="Calibri" w:hAnsi="Palatino Linotype" w:cs="Arial"/>
          <w:sz w:val="24"/>
          <w:szCs w:val="24"/>
          <w:lang w:val="es-ES"/>
        </w:rPr>
        <w:t xml:space="preserve"> realizara al </w:t>
      </w:r>
      <w:r w:rsidRPr="008A14CC">
        <w:rPr>
          <w:rFonts w:ascii="Palatino Linotype" w:eastAsia="Calibri" w:hAnsi="Palatino Linotype" w:cs="Arial"/>
          <w:b/>
          <w:sz w:val="24"/>
          <w:szCs w:val="24"/>
          <w:lang w:val="es-ES"/>
        </w:rPr>
        <w:t>RECURRENTE</w:t>
      </w:r>
      <w:r w:rsidRPr="008A14CC">
        <w:rPr>
          <w:rFonts w:ascii="Palatino Linotype" w:eastAsia="Calibri" w:hAnsi="Palatino Linotype" w:cs="Arial"/>
          <w:sz w:val="24"/>
          <w:szCs w:val="24"/>
          <w:lang w:val="es-ES"/>
        </w:rPr>
        <w:t xml:space="preserve"> a efecto de que se le entregue la información.</w:t>
      </w:r>
    </w:p>
    <w:p w:rsidR="00FC06CB" w:rsidRPr="008A14CC" w:rsidRDefault="00FC06CB" w:rsidP="00FC06CB">
      <w:pPr>
        <w:contextualSpacing/>
        <w:rPr>
          <w:rFonts w:ascii="Palatino Linotype" w:eastAsia="Calibri" w:hAnsi="Palatino Linotype" w:cs="Arial"/>
          <w:sz w:val="24"/>
          <w:szCs w:val="24"/>
          <w:lang w:val="es-ES"/>
        </w:rPr>
      </w:pPr>
    </w:p>
    <w:p w:rsidR="00FC06CB" w:rsidRPr="008A14CC" w:rsidRDefault="00FC06CB" w:rsidP="00FC06CB">
      <w:pPr>
        <w:numPr>
          <w:ilvl w:val="0"/>
          <w:numId w:val="1"/>
        </w:numPr>
        <w:spacing w:after="0" w:line="360" w:lineRule="auto"/>
        <w:contextualSpacing/>
        <w:jc w:val="both"/>
        <w:rPr>
          <w:rFonts w:ascii="Palatino Linotype" w:eastAsia="Calibri" w:hAnsi="Palatino Linotype" w:cs="Arial"/>
          <w:sz w:val="24"/>
          <w:szCs w:val="24"/>
          <w:lang w:val="es-ES"/>
        </w:rPr>
      </w:pPr>
      <w:r w:rsidRPr="008A14CC">
        <w:rPr>
          <w:rFonts w:ascii="Palatino Linotype" w:eastAsia="Calibri" w:hAnsi="Palatino Linotype" w:cs="Arial"/>
          <w:sz w:val="24"/>
          <w:szCs w:val="24"/>
          <w:lang w:val="es-ES"/>
        </w:rPr>
        <w:t>Por</w:t>
      </w:r>
      <w:r w:rsidRPr="008A14CC">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FC06CB" w:rsidRPr="008A14CC" w:rsidRDefault="00FC06CB" w:rsidP="00FC06CB">
      <w:pPr>
        <w:contextualSpacing/>
        <w:rPr>
          <w:rFonts w:ascii="Palatino Linotype" w:eastAsia="Calibri" w:hAnsi="Palatino Linotype" w:cs="Arial"/>
          <w:sz w:val="24"/>
          <w:szCs w:val="24"/>
          <w:lang w:val="es-ES"/>
        </w:rPr>
      </w:pPr>
    </w:p>
    <w:p w:rsidR="00FC06CB" w:rsidRPr="008A14CC" w:rsidRDefault="00FC06CB" w:rsidP="00FC06CB">
      <w:pPr>
        <w:keepNext/>
        <w:keepLines/>
        <w:numPr>
          <w:ilvl w:val="0"/>
          <w:numId w:val="2"/>
        </w:numPr>
        <w:spacing w:before="240" w:after="0"/>
        <w:outlineLvl w:val="0"/>
        <w:rPr>
          <w:rFonts w:ascii="Palatino Linotype" w:eastAsia="Calibri" w:hAnsi="Palatino Linotype" w:cstheme="majorBidi"/>
          <w:b/>
          <w:sz w:val="24"/>
          <w:szCs w:val="24"/>
          <w:lang w:val="es-ES"/>
        </w:rPr>
      </w:pPr>
      <w:bookmarkStart w:id="2" w:name="_Toc516449142"/>
      <w:r w:rsidRPr="008A14CC">
        <w:rPr>
          <w:rFonts w:ascii="Palatino Linotype" w:eastAsia="Calibri" w:hAnsi="Palatino Linotype" w:cstheme="majorBidi"/>
          <w:b/>
          <w:sz w:val="24"/>
          <w:szCs w:val="24"/>
          <w:lang w:val="es-ES"/>
        </w:rPr>
        <w:t>De los requerimientos planteados en el recurso de revisión.</w:t>
      </w:r>
      <w:bookmarkEnd w:id="2"/>
    </w:p>
    <w:p w:rsidR="00FC06CB" w:rsidRPr="008A14CC" w:rsidRDefault="00FC06CB" w:rsidP="00FC06CB">
      <w:pPr>
        <w:contextualSpacing/>
        <w:rPr>
          <w:rFonts w:ascii="Palatino Linotype" w:eastAsia="Calibri" w:hAnsi="Palatino Linotype" w:cs="Arial"/>
          <w:sz w:val="24"/>
          <w:szCs w:val="24"/>
          <w:lang w:val="es-ES"/>
        </w:rPr>
      </w:pPr>
    </w:p>
    <w:p w:rsidR="00FC06CB" w:rsidRPr="008A14CC" w:rsidRDefault="00FC06CB" w:rsidP="00FC06CB">
      <w:pPr>
        <w:ind w:left="851" w:right="850"/>
        <w:jc w:val="both"/>
        <w:rPr>
          <w:rFonts w:ascii="Palatino Linotype" w:eastAsia="Calibri" w:hAnsi="Palatino Linotype" w:cs="Times New Roman"/>
          <w:sz w:val="24"/>
          <w:szCs w:val="24"/>
        </w:rPr>
      </w:pPr>
      <w:r w:rsidRPr="008A14CC">
        <w:rPr>
          <w:rFonts w:ascii="Palatino Linotype" w:eastAsia="Calibri" w:hAnsi="Palatino Linotype" w:cs="Arial"/>
          <w:sz w:val="24"/>
          <w:szCs w:val="24"/>
          <w:lang w:val="es-ES"/>
        </w:rPr>
        <w:t xml:space="preserve">En </w:t>
      </w:r>
      <w:r w:rsidRPr="008A14CC">
        <w:rPr>
          <w:rFonts w:ascii="Palatino Linotype" w:eastAsia="Calibri" w:hAnsi="Palatino Linotype" w:cs="Times New Roman"/>
          <w:sz w:val="24"/>
          <w:szCs w:val="24"/>
        </w:rPr>
        <w:t>ejercicio del derecho constitucional que le asiste a la particular, formuló una serie de solicitudes de información dirigidas hacia la</w:t>
      </w:r>
      <w:r w:rsidRPr="008A14CC">
        <w:t xml:space="preserve"> </w:t>
      </w:r>
      <w:r w:rsidRPr="008A14CC">
        <w:rPr>
          <w:rFonts w:ascii="Palatino Linotype" w:eastAsia="Calibri" w:hAnsi="Palatino Linotype" w:cs="Times New Roman"/>
          <w:b/>
          <w:sz w:val="24"/>
          <w:szCs w:val="24"/>
        </w:rPr>
        <w:t>Universidad Politécnica del Valle de Toluca,</w:t>
      </w:r>
      <w:r w:rsidRPr="008A14CC">
        <w:rPr>
          <w:rFonts w:ascii="Palatino Linotype" w:eastAsia="Calibri" w:hAnsi="Palatino Linotype" w:cs="Times New Roman"/>
          <w:sz w:val="24"/>
          <w:szCs w:val="24"/>
        </w:rPr>
        <w:t xml:space="preserve"> en dichas solicitudes planteó lo siguiente:</w:t>
      </w: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00353/UPVT/IP/2018,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“Programa Anual de Difusión 2018, ademas de las evidencias que ya se tengan y las cedulas o formatos arbitrales de los torneos ya desarrollados, coincidiendo actividades y formatos” [Sic]</w:t>
      </w:r>
    </w:p>
    <w:p w:rsidR="00FC06CB"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00352/UPVT/IP/2018,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“Programa Anual de Difusión 2017, además de las evidencias del mismo y las cédulas o formatos arbitrales de los torneos internos de ese año, coincidiendo actividades y formatos” [Sic]</w:t>
      </w:r>
    </w:p>
    <w:p w:rsidR="00FC06CB"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00342/UPVT/IP/2018,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2007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lastRenderedPageBreak/>
        <w:t>00343/UPVT/IP/2018,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2008 coordinados y/o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00344/UPVT/IP/2018,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2009 coordinados y/o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00345/UPVT/IP/2018,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2010 coordinados y/u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00346/UPVT/IP/2018,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los torneos internos en 2011 coordinados y/u organizados por el departamento de vinculación” [Sic]</w:t>
      </w:r>
    </w:p>
    <w:p w:rsidR="00FC06CB"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00347/UPVT/IP/2018,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2012 coordinados y/u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 xml:space="preserve">00348/UPVT/IP/2018, </w:t>
      </w:r>
      <w:r w:rsidRPr="008A14CC">
        <w:rPr>
          <w:rFonts w:ascii="Palatino Linotype" w:hAnsi="Palatino Linotype"/>
          <w:i/>
          <w:sz w:val="23"/>
          <w:szCs w:val="23"/>
          <w:lang w:val="es-ES_tradnl"/>
        </w:rPr>
        <w:t>“Cédulas o formatos de arbitraje correspondientes a torneos internos en 2013 coordinados y/u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00349/UPVT/IP/2018,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2014 coordinados y/u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00350/UPVT/IP/2018,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“Cédulas o formatos de arbitraje correspondientes a torneos internos en 2015 coordinados y/u organizados por el departamento de vinculación” [Sic]</w:t>
      </w:r>
    </w:p>
    <w:p w:rsidR="00FC06CB" w:rsidRPr="008C7CC6" w:rsidRDefault="00FC06CB" w:rsidP="00FC06CB">
      <w:pPr>
        <w:pStyle w:val="Sinespaciado"/>
        <w:spacing w:line="360" w:lineRule="auto"/>
        <w:ind w:left="1571"/>
        <w:jc w:val="both"/>
        <w:rPr>
          <w:rFonts w:ascii="Palatino Linotype" w:hAnsi="Palatino Linotype"/>
          <w:b/>
          <w:bCs/>
          <w:color w:val="000000" w:themeColor="text1"/>
          <w:sz w:val="23"/>
          <w:szCs w:val="23"/>
          <w:u w:val="single"/>
        </w:rPr>
      </w:pPr>
    </w:p>
    <w:p w:rsidR="00FC06CB" w:rsidRPr="008A14CC" w:rsidRDefault="00FC06CB" w:rsidP="00FC06CB">
      <w:pPr>
        <w:pStyle w:val="Sinespaciado"/>
        <w:numPr>
          <w:ilvl w:val="0"/>
          <w:numId w:val="22"/>
        </w:numPr>
        <w:spacing w:line="360" w:lineRule="auto"/>
        <w:jc w:val="both"/>
        <w:rPr>
          <w:rFonts w:ascii="Palatino Linotype" w:hAnsi="Palatino Linotype"/>
          <w:sz w:val="23"/>
          <w:szCs w:val="23"/>
          <w:u w:val="single"/>
        </w:rPr>
      </w:pPr>
      <w:r>
        <w:rPr>
          <w:rFonts w:ascii="Palatino Linotype" w:hAnsi="Palatino Linotype"/>
          <w:b/>
          <w:bCs/>
          <w:color w:val="000000" w:themeColor="text1"/>
          <w:sz w:val="23"/>
          <w:szCs w:val="23"/>
          <w:u w:val="single"/>
        </w:rPr>
        <w:t>00351/UPVT/IP/2018,</w:t>
      </w:r>
      <w:r>
        <w:rPr>
          <w:rFonts w:ascii="Palatino Linotype" w:hAnsi="Palatino Linotype"/>
          <w:sz w:val="23"/>
          <w:szCs w:val="23"/>
          <w:u w:val="single"/>
        </w:rPr>
        <w:t xml:space="preserve"> </w:t>
      </w:r>
      <w:r w:rsidRPr="008A14CC">
        <w:rPr>
          <w:rFonts w:ascii="Palatino Linotype" w:hAnsi="Palatino Linotype"/>
          <w:i/>
          <w:sz w:val="23"/>
          <w:szCs w:val="23"/>
          <w:lang w:val="es-ES_tradnl"/>
        </w:rPr>
        <w:t>“Programa Anual de Difusión 2016, además de las evidencias del mismo y las cédulas o formatos arbitrales de los torneos internos de ese año, coinciendo actividades y formatos” [Sic]</w:t>
      </w:r>
    </w:p>
    <w:p w:rsidR="00FC06CB" w:rsidRPr="008A14CC" w:rsidRDefault="00FC06CB" w:rsidP="00FC06CB">
      <w:pPr>
        <w:spacing w:before="240" w:line="360" w:lineRule="auto"/>
        <w:ind w:right="850"/>
        <w:jc w:val="both"/>
        <w:rPr>
          <w:rFonts w:ascii="Palatino Linotype" w:eastAsia="Times New Roman" w:hAnsi="Palatino Linotype" w:cs="Times New Roman"/>
          <w:i/>
          <w:lang w:val="es-ES_tradnl" w:eastAsia="es-ES"/>
        </w:rPr>
      </w:pPr>
    </w:p>
    <w:p w:rsidR="00FC06CB" w:rsidRPr="008A14CC" w:rsidRDefault="00FC06CB" w:rsidP="00FC06CB">
      <w:pPr>
        <w:numPr>
          <w:ilvl w:val="0"/>
          <w:numId w:val="1"/>
        </w:numPr>
        <w:spacing w:before="240" w:after="240" w:line="360" w:lineRule="auto"/>
        <w:ind w:right="51"/>
        <w:jc w:val="both"/>
        <w:rPr>
          <w:rFonts w:ascii="Palatino Linotype" w:eastAsia="Calibri" w:hAnsi="Palatino Linotype" w:cs="Arial"/>
          <w:sz w:val="24"/>
          <w:szCs w:val="24"/>
        </w:rPr>
      </w:pPr>
      <w:r w:rsidRPr="008A14CC">
        <w:rPr>
          <w:rFonts w:ascii="Palatino Linotype" w:eastAsia="Calibri" w:hAnsi="Palatino Linotype" w:cs="Arial"/>
          <w:sz w:val="24"/>
          <w:szCs w:val="24"/>
        </w:rPr>
        <w:t>Bajo esas consideraciones la Ponencia que resolvió el recurso de revisión para no realizar una afectación al derecho de acceso a la información del particular, decidió por cuenta propia entrar al estudio y análisis del asunto a efecto de verificar si existe fuente obligacional por parte de la</w:t>
      </w:r>
      <w:r w:rsidRPr="008A14CC">
        <w:t xml:space="preserve"> </w:t>
      </w:r>
      <w:r w:rsidRPr="008A14CC">
        <w:rPr>
          <w:rFonts w:ascii="Palatino Linotype" w:eastAsia="Calibri" w:hAnsi="Palatino Linotype" w:cs="Arial"/>
          <w:b/>
          <w:sz w:val="24"/>
          <w:szCs w:val="24"/>
        </w:rPr>
        <w:t>Universidad Politécnica del Valle de Toluca</w:t>
      </w:r>
      <w:r w:rsidRPr="008A14CC">
        <w:rPr>
          <w:rFonts w:ascii="Palatino Linotype" w:hAnsi="Palatino Linotype"/>
          <w:b/>
          <w:sz w:val="24"/>
          <w:szCs w:val="24"/>
        </w:rPr>
        <w:t>,</w:t>
      </w:r>
      <w:r w:rsidRPr="008A14CC">
        <w:t xml:space="preserve"> </w:t>
      </w:r>
      <w:r w:rsidRPr="008A14CC">
        <w:rPr>
          <w:rFonts w:ascii="Palatino Linotype" w:eastAsia="Calibri" w:hAnsi="Palatino Linotype" w:cs="Arial"/>
          <w:sz w:val="24"/>
          <w:szCs w:val="24"/>
        </w:rPr>
        <w:t xml:space="preserve">y así ordenar de la información del </w:t>
      </w:r>
      <w:r w:rsidRPr="008A14CC">
        <w:rPr>
          <w:rFonts w:ascii="Palatino Linotype" w:eastAsia="Calibri" w:hAnsi="Palatino Linotype" w:cs="Arial"/>
          <w:b/>
          <w:sz w:val="24"/>
          <w:szCs w:val="24"/>
        </w:rPr>
        <w:t>SUJETO OBLIGADO</w:t>
      </w:r>
      <w:r w:rsidRPr="008A14CC">
        <w:rPr>
          <w:rFonts w:ascii="Palatino Linotype" w:eastAsia="Calibri" w:hAnsi="Palatino Linotype" w:cs="Arial"/>
          <w:sz w:val="24"/>
          <w:szCs w:val="24"/>
        </w:rPr>
        <w:t>.</w:t>
      </w:r>
    </w:p>
    <w:p w:rsidR="00FC06CB" w:rsidRPr="008A14CC" w:rsidRDefault="00FC06CB" w:rsidP="00FC06CB">
      <w:pPr>
        <w:contextualSpacing/>
        <w:rPr>
          <w:rFonts w:ascii="Palatino Linotype" w:eastAsia="Calibri" w:hAnsi="Palatino Linotype" w:cs="Arial"/>
          <w:sz w:val="24"/>
          <w:szCs w:val="24"/>
        </w:rPr>
      </w:pPr>
    </w:p>
    <w:p w:rsidR="00FC06CB" w:rsidRPr="008A14CC" w:rsidRDefault="00FC06CB" w:rsidP="00FC06CB">
      <w:pPr>
        <w:numPr>
          <w:ilvl w:val="0"/>
          <w:numId w:val="1"/>
        </w:numPr>
        <w:spacing w:after="0" w:line="360" w:lineRule="auto"/>
        <w:contextualSpacing/>
        <w:jc w:val="both"/>
        <w:rPr>
          <w:rFonts w:ascii="Palatino Linotype" w:eastAsia="Calibri" w:hAnsi="Palatino Linotype" w:cs="Arial"/>
          <w:i/>
          <w:sz w:val="24"/>
          <w:szCs w:val="24"/>
        </w:rPr>
      </w:pPr>
      <w:r w:rsidRPr="008A14CC">
        <w:rPr>
          <w:rFonts w:ascii="Palatino Linotype" w:eastAsia="Calibri" w:hAnsi="Palatino Linotype" w:cs="Arial"/>
          <w:sz w:val="24"/>
          <w:szCs w:val="24"/>
        </w:rPr>
        <w:t xml:space="preserve">Por lo que respecta al análisis que realizó la ponente para poder Ordenar el presente asunto </w:t>
      </w:r>
      <w:r w:rsidRPr="008A14CC">
        <w:rPr>
          <w:rFonts w:ascii="Palatino Linotype" w:hAnsi="Palatino Linotype" w:cs="Arial"/>
          <w:sz w:val="24"/>
          <w:szCs w:val="24"/>
        </w:rPr>
        <w:t xml:space="preserve">se observó que el </w:t>
      </w:r>
      <w:r w:rsidRPr="008A14CC">
        <w:rPr>
          <w:rFonts w:ascii="Palatino Linotype" w:hAnsi="Palatino Linotype" w:cs="Arial"/>
          <w:b/>
          <w:sz w:val="24"/>
          <w:szCs w:val="24"/>
        </w:rPr>
        <w:t xml:space="preserve">SUJETO OBLIGADO </w:t>
      </w:r>
      <w:r w:rsidRPr="008A14CC">
        <w:rPr>
          <w:rFonts w:ascii="Palatino Linotype" w:hAnsi="Palatino Linotype" w:cs="Arial"/>
          <w:sz w:val="24"/>
          <w:szCs w:val="24"/>
        </w:rPr>
        <w:t xml:space="preserve">colmó </w:t>
      </w:r>
      <w:r>
        <w:rPr>
          <w:rFonts w:ascii="Palatino Linotype" w:hAnsi="Palatino Linotype" w:cs="Arial"/>
          <w:sz w:val="24"/>
          <w:szCs w:val="24"/>
        </w:rPr>
        <w:t xml:space="preserve">parcialmente </w:t>
      </w:r>
      <w:r w:rsidRPr="008A14CC">
        <w:rPr>
          <w:rFonts w:ascii="Palatino Linotype" w:hAnsi="Palatino Linotype" w:cs="Arial"/>
          <w:sz w:val="24"/>
          <w:szCs w:val="24"/>
        </w:rPr>
        <w:t xml:space="preserve">la </w:t>
      </w:r>
      <w:r w:rsidRPr="008A14CC">
        <w:rPr>
          <w:rFonts w:ascii="Palatino Linotype" w:hAnsi="Palatino Linotype" w:cs="Arial"/>
          <w:sz w:val="24"/>
          <w:szCs w:val="24"/>
        </w:rPr>
        <w:lastRenderedPageBreak/>
        <w:t>solici</w:t>
      </w:r>
      <w:r>
        <w:rPr>
          <w:rFonts w:ascii="Palatino Linotype" w:hAnsi="Palatino Linotype" w:cs="Arial"/>
          <w:sz w:val="24"/>
          <w:szCs w:val="24"/>
        </w:rPr>
        <w:t>tud de información por parte de la</w:t>
      </w:r>
      <w:r w:rsidRPr="008A14CC">
        <w:rPr>
          <w:rFonts w:ascii="Palatino Linotype" w:hAnsi="Palatino Linotype" w:cs="Arial"/>
          <w:sz w:val="24"/>
          <w:szCs w:val="24"/>
        </w:rPr>
        <w:t xml:space="preserve"> solicitante, por lo que se</w:t>
      </w:r>
      <w:r w:rsidRPr="008A14CC">
        <w:rPr>
          <w:rFonts w:ascii="Palatino Linotype" w:hAnsi="Palatino Linotype" w:cs="Arial"/>
          <w:b/>
          <w:sz w:val="24"/>
          <w:szCs w:val="24"/>
        </w:rPr>
        <w:t xml:space="preserve"> </w:t>
      </w:r>
      <w:r>
        <w:rPr>
          <w:rFonts w:ascii="Palatino Linotype" w:hAnsi="Palatino Linotype" w:cs="Arial"/>
          <w:b/>
          <w:sz w:val="24"/>
          <w:szCs w:val="24"/>
        </w:rPr>
        <w:t>modifica</w:t>
      </w:r>
      <w:r w:rsidRPr="008A14CC">
        <w:rPr>
          <w:rFonts w:ascii="Palatino Linotype" w:hAnsi="Palatino Linotype" w:cs="Arial"/>
          <w:sz w:val="24"/>
          <w:szCs w:val="24"/>
        </w:rPr>
        <w:t xml:space="preserve"> la respuesta emitida por la</w:t>
      </w:r>
      <w:r w:rsidRPr="008A14CC">
        <w:t xml:space="preserve"> </w:t>
      </w:r>
      <w:r w:rsidRPr="008A14CC">
        <w:rPr>
          <w:rFonts w:ascii="Palatino Linotype" w:hAnsi="Palatino Linotype" w:cs="Arial"/>
          <w:b/>
          <w:sz w:val="24"/>
          <w:szCs w:val="24"/>
        </w:rPr>
        <w:t>Universidad Politécnica del Valle de Toluca.</w:t>
      </w:r>
    </w:p>
    <w:p w:rsidR="00FC06CB" w:rsidRDefault="00FC06CB" w:rsidP="00FC06CB">
      <w:pPr>
        <w:pStyle w:val="Prrafodelista"/>
        <w:rPr>
          <w:rFonts w:ascii="Palatino Linotype" w:eastAsia="Calibri" w:hAnsi="Palatino Linotype" w:cs="Arial"/>
          <w:i/>
          <w:sz w:val="24"/>
          <w:szCs w:val="24"/>
        </w:rPr>
      </w:pPr>
    </w:p>
    <w:p w:rsidR="00FC06CB" w:rsidRPr="008A14CC" w:rsidRDefault="00FC06CB" w:rsidP="00FC06CB">
      <w:pPr>
        <w:numPr>
          <w:ilvl w:val="0"/>
          <w:numId w:val="1"/>
        </w:numPr>
        <w:spacing w:before="240" w:after="240" w:line="360" w:lineRule="auto"/>
        <w:ind w:right="333"/>
        <w:contextualSpacing/>
        <w:jc w:val="both"/>
        <w:rPr>
          <w:rFonts w:ascii="Palatino Linotype" w:eastAsia="Times New Roman" w:hAnsi="Palatino Linotype" w:cs="Arial"/>
          <w:i/>
          <w:sz w:val="24"/>
        </w:rPr>
      </w:pPr>
      <w:r w:rsidRPr="008A14CC">
        <w:rPr>
          <w:rFonts w:ascii="Palatino Linotype" w:eastAsia="Times New Roman" w:hAnsi="Palatino Linotype" w:cs="Arial"/>
          <w:sz w:val="24"/>
        </w:rPr>
        <w:t>Sin embargo, ésta ponencia observó que la resolución puntualmente indica lo siguiente:</w:t>
      </w:r>
    </w:p>
    <w:p w:rsidR="00FC06CB" w:rsidRPr="00EF3F47" w:rsidRDefault="00FC06CB" w:rsidP="00FC06CB">
      <w:pPr>
        <w:spacing w:before="240" w:after="240" w:line="360" w:lineRule="auto"/>
        <w:ind w:left="851" w:right="567"/>
        <w:contextualSpacing/>
        <w:jc w:val="both"/>
        <w:rPr>
          <w:rFonts w:ascii="Palatino Linotype" w:eastAsia="Times New Roman" w:hAnsi="Palatino Linotype" w:cs="Arial"/>
          <w:i/>
          <w:sz w:val="24"/>
          <w:szCs w:val="24"/>
        </w:rPr>
      </w:pPr>
      <w:r w:rsidRPr="008A14CC">
        <w:rPr>
          <w:rFonts w:ascii="Palatino Linotype" w:eastAsia="Times New Roman" w:hAnsi="Palatino Linotype" w:cs="Arial"/>
          <w:i/>
          <w:sz w:val="24"/>
          <w:szCs w:val="24"/>
        </w:rPr>
        <w:t>“</w:t>
      </w:r>
      <w:r w:rsidRPr="00EF3F47">
        <w:rPr>
          <w:rFonts w:ascii="Palatino Linotype" w:eastAsia="Times New Roman" w:hAnsi="Palatino Linotype" w:cs="Arial"/>
          <w:i/>
          <w:sz w:val="24"/>
          <w:szCs w:val="24"/>
        </w:rPr>
        <w:t>Por tanto, el Sujeto Obligado asume que ha generado, poseído y administrado los documentos en los que constan las evidencias derivadas de la aplicación de los Programas Anuales de Difusión; sin embargo, debido a que no existe ningún precepto en el Reglamento de Estudios de Profesional Asociado y Licenciatura de la Universidad Politécnica del Valle de Toluca que lo constriña a digitalizar dicha información; así como tampoco ésta es considerada como información pública de oficio en apego a lo dispuesto en el artículo 92 de la Ley de Transparencia y Acceso a la Información Pública del Estado de México y Municipios, ni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FC06CB" w:rsidRPr="00EF3F47" w:rsidRDefault="00FC06CB" w:rsidP="00FC06CB">
      <w:pPr>
        <w:spacing w:before="240" w:after="240" w:line="360" w:lineRule="auto"/>
        <w:ind w:left="851" w:right="567"/>
        <w:contextualSpacing/>
        <w:jc w:val="both"/>
        <w:rPr>
          <w:rFonts w:ascii="Palatino Linotype" w:eastAsia="Times New Roman" w:hAnsi="Palatino Linotype" w:cs="Arial"/>
          <w:i/>
          <w:sz w:val="24"/>
          <w:szCs w:val="24"/>
        </w:rPr>
      </w:pPr>
    </w:p>
    <w:p w:rsidR="00FC06CB" w:rsidRPr="008A14CC" w:rsidRDefault="00FC06CB" w:rsidP="00FC06CB">
      <w:pPr>
        <w:spacing w:before="240" w:after="240" w:line="360" w:lineRule="auto"/>
        <w:ind w:left="851" w:right="567"/>
        <w:contextualSpacing/>
        <w:jc w:val="both"/>
        <w:rPr>
          <w:rFonts w:ascii="Palatino Linotype" w:eastAsia="Times New Roman" w:hAnsi="Palatino Linotype" w:cs="Arial"/>
          <w:i/>
          <w:sz w:val="24"/>
          <w:szCs w:val="24"/>
        </w:rPr>
      </w:pPr>
      <w:r w:rsidRPr="00EF3F47">
        <w:rPr>
          <w:rFonts w:ascii="Palatino Linotype" w:eastAsia="Times New Roman" w:hAnsi="Palatino Linotype" w:cs="Arial"/>
          <w:i/>
          <w:sz w:val="24"/>
          <w:szCs w:val="24"/>
        </w:rPr>
        <w:t xml:space="preserve">Por dicho motivo, el Sujeto Obligado informó que el total de los documentos requeridos por el Recurrente ascienden a trescientas veintitrés fojas, y que, </w:t>
      </w:r>
      <w:r w:rsidRPr="00EF3F47">
        <w:rPr>
          <w:rFonts w:ascii="Palatino Linotype" w:eastAsia="Times New Roman" w:hAnsi="Palatino Linotype" w:cs="Arial"/>
          <w:i/>
          <w:sz w:val="24"/>
          <w:szCs w:val="24"/>
        </w:rPr>
        <w:lastRenderedPageBreak/>
        <w:t>con fundamento en los artículos 9, fracción III, 17, 165, 174 y 175 de la Ley de  Transparencia Local, 4.22 de su Reglamento y 73, fracción VI del Código Financiero del Estado de México, es necesario que la Recurrente realice el pago por la cantidad de $193.80 (ciento noventa y tres pesos 80/100 M.N.), en razón de que el costo por escaneo y digitalización de cada foja equivale a $0.60 (sesenta centavos</w:t>
      </w:r>
      <w:r>
        <w:rPr>
          <w:rFonts w:ascii="Palatino Linotype" w:eastAsia="Times New Roman" w:hAnsi="Palatino Linotype" w:cs="Arial"/>
          <w:i/>
          <w:sz w:val="24"/>
          <w:szCs w:val="24"/>
        </w:rPr>
        <w:t>)</w:t>
      </w:r>
      <w:r w:rsidRPr="008A14CC">
        <w:rPr>
          <w:rFonts w:ascii="Palatino Linotype" w:hAnsi="Palatino Linotype" w:cs="Arial"/>
          <w:i/>
          <w:color w:val="000000" w:themeColor="text1"/>
          <w:sz w:val="24"/>
          <w:szCs w:val="24"/>
        </w:rPr>
        <w:t>.</w:t>
      </w:r>
      <w:r w:rsidRPr="008A14CC">
        <w:rPr>
          <w:rFonts w:ascii="Palatino Linotype" w:eastAsia="Times New Roman" w:hAnsi="Palatino Linotype" w:cs="Arial"/>
          <w:i/>
          <w:sz w:val="24"/>
          <w:szCs w:val="24"/>
        </w:rPr>
        <w:t>”</w:t>
      </w:r>
    </w:p>
    <w:p w:rsidR="00FC06CB" w:rsidRPr="008A14CC" w:rsidRDefault="00FC06CB" w:rsidP="00FC06CB">
      <w:pPr>
        <w:spacing w:before="240" w:after="240" w:line="360" w:lineRule="auto"/>
        <w:ind w:left="851" w:right="567"/>
        <w:contextualSpacing/>
        <w:jc w:val="both"/>
        <w:rPr>
          <w:rFonts w:ascii="Palatino Linotype" w:eastAsia="Times New Roman" w:hAnsi="Palatino Linotype" w:cs="Arial"/>
          <w:i/>
          <w:sz w:val="24"/>
        </w:rPr>
      </w:pPr>
    </w:p>
    <w:p w:rsidR="00FC06CB" w:rsidRPr="008A14CC" w:rsidRDefault="00FC06CB" w:rsidP="00FC06CB">
      <w:pPr>
        <w:numPr>
          <w:ilvl w:val="0"/>
          <w:numId w:val="1"/>
        </w:numPr>
        <w:spacing w:before="240" w:after="240" w:line="360" w:lineRule="auto"/>
        <w:ind w:right="333"/>
        <w:contextualSpacing/>
        <w:jc w:val="both"/>
        <w:rPr>
          <w:rFonts w:ascii="Palatino Linotype" w:eastAsia="Times New Roman" w:hAnsi="Palatino Linotype" w:cs="Arial"/>
          <w:i/>
          <w:sz w:val="24"/>
        </w:rPr>
      </w:pPr>
      <w:r w:rsidRPr="008A14CC">
        <w:rPr>
          <w:rFonts w:ascii="Palatino Linotype" w:eastAsia="Times New Roman" w:hAnsi="Palatino Linotype" w:cs="Arial"/>
          <w:sz w:val="24"/>
        </w:rPr>
        <w:t xml:space="preserve">Por esa razón, la ponente se manifestó al respecto enfatizando que en pro de que el </w:t>
      </w:r>
      <w:r w:rsidRPr="008A14CC">
        <w:rPr>
          <w:rFonts w:ascii="Palatino Linotype" w:eastAsia="Times New Roman" w:hAnsi="Palatino Linotype" w:cs="Arial"/>
          <w:b/>
          <w:sz w:val="24"/>
        </w:rPr>
        <w:t xml:space="preserve">SUJETO OBLIGADO </w:t>
      </w:r>
      <w:r w:rsidRPr="008A14CC">
        <w:rPr>
          <w:rFonts w:ascii="Palatino Linotype" w:eastAsia="Times New Roman" w:hAnsi="Palatino Linotype" w:cs="Arial"/>
          <w:sz w:val="24"/>
        </w:rPr>
        <w:t xml:space="preserve">haga entrega de la información solicitada, el </w:t>
      </w:r>
      <w:r w:rsidRPr="008A14CC">
        <w:rPr>
          <w:rFonts w:ascii="Palatino Linotype" w:eastAsia="Times New Roman" w:hAnsi="Palatino Linotype" w:cs="Arial"/>
          <w:b/>
          <w:sz w:val="24"/>
        </w:rPr>
        <w:t>RECURRENTE</w:t>
      </w:r>
      <w:r w:rsidRPr="008A14CC">
        <w:rPr>
          <w:rFonts w:ascii="Palatino Linotype" w:eastAsia="Times New Roman" w:hAnsi="Palatino Linotype" w:cs="Arial"/>
          <w:sz w:val="24"/>
        </w:rPr>
        <w:t xml:space="preserve"> habrá de pagar primeramente los derechos correspondientes, entendiéndose, </w:t>
      </w:r>
      <w:r w:rsidRPr="008A14CC">
        <w:rPr>
          <w:rFonts w:ascii="Palatino Linotype" w:eastAsia="Times New Roman" w:hAnsi="Palatino Linotype" w:cs="Arial"/>
          <w:sz w:val="24"/>
          <w:u w:val="single"/>
        </w:rPr>
        <w:t xml:space="preserve">pagar por que la </w:t>
      </w:r>
      <w:r w:rsidRPr="008A14CC">
        <w:rPr>
          <w:rFonts w:ascii="Palatino Linotype" w:eastAsia="Times New Roman" w:hAnsi="Palatino Linotype" w:cs="Arial"/>
          <w:b/>
          <w:sz w:val="24"/>
          <w:u w:val="single"/>
        </w:rPr>
        <w:t>Universidad Politécnica del Valle de Toluca</w:t>
      </w:r>
      <w:r w:rsidRPr="008A14CC">
        <w:rPr>
          <w:rFonts w:ascii="Palatino Linotype" w:eastAsia="Times New Roman" w:hAnsi="Palatino Linotype" w:cs="Arial"/>
          <w:sz w:val="24"/>
          <w:u w:val="single"/>
        </w:rPr>
        <w:t xml:space="preserve"> digitalice la información.</w:t>
      </w:r>
    </w:p>
    <w:p w:rsidR="00FC06CB" w:rsidRPr="008A14CC" w:rsidRDefault="00FC06CB" w:rsidP="00FC06CB">
      <w:pPr>
        <w:spacing w:after="0" w:line="360" w:lineRule="auto"/>
        <w:contextualSpacing/>
        <w:jc w:val="both"/>
        <w:rPr>
          <w:rFonts w:ascii="Palatino Linotype" w:eastAsia="Calibri" w:hAnsi="Palatino Linotype" w:cs="Arial"/>
          <w:sz w:val="24"/>
          <w:szCs w:val="24"/>
        </w:rPr>
      </w:pPr>
    </w:p>
    <w:p w:rsidR="00FC06CB" w:rsidRPr="008A14CC" w:rsidRDefault="00FC06CB" w:rsidP="00FC06CB">
      <w:pPr>
        <w:keepNext/>
        <w:keepLines/>
        <w:spacing w:before="40" w:after="0"/>
        <w:outlineLvl w:val="1"/>
        <w:rPr>
          <w:rFonts w:ascii="Palatino Linotype" w:eastAsiaTheme="majorEastAsia" w:hAnsi="Palatino Linotype" w:cstheme="majorBidi"/>
          <w:b/>
          <w:color w:val="000000" w:themeColor="text1"/>
          <w:sz w:val="24"/>
          <w:szCs w:val="24"/>
        </w:rPr>
      </w:pPr>
      <w:bookmarkStart w:id="3" w:name="_Toc469919070"/>
      <w:bookmarkStart w:id="4" w:name="_Toc516449143"/>
      <w:r w:rsidRPr="008A14CC">
        <w:rPr>
          <w:rFonts w:ascii="Palatino Linotype" w:eastAsiaTheme="majorEastAsia" w:hAnsi="Palatino Linotype" w:cstheme="majorBidi"/>
          <w:b/>
          <w:color w:val="000000" w:themeColor="text1"/>
          <w:sz w:val="24"/>
          <w:szCs w:val="24"/>
        </w:rPr>
        <w:t>III. Del Derecho de Acceso a la información pública y el deber de motivar.</w:t>
      </w:r>
      <w:bookmarkEnd w:id="3"/>
      <w:bookmarkEnd w:id="4"/>
    </w:p>
    <w:p w:rsidR="00FC06CB" w:rsidRPr="008A14CC" w:rsidRDefault="00FC06CB" w:rsidP="00FC06CB">
      <w:pPr>
        <w:spacing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cs="Arial"/>
          <w:sz w:val="24"/>
          <w:szCs w:val="24"/>
        </w:rPr>
      </w:pPr>
      <w:r w:rsidRPr="008A14CC">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8A14CC">
        <w:rPr>
          <w:rFonts w:ascii="Palatino Linotype" w:eastAsia="Times New Roman" w:hAnsi="Palatino Linotype" w:cs="Arial"/>
          <w:b/>
          <w:sz w:val="24"/>
          <w:szCs w:val="24"/>
        </w:rPr>
        <w:t>Constitución Política de los Estados Unidos Mexicanos</w:t>
      </w:r>
      <w:r w:rsidRPr="008A14CC">
        <w:rPr>
          <w:rFonts w:ascii="Palatino Linotype" w:eastAsia="Times New Roman" w:hAnsi="Palatino Linotype" w:cs="Arial"/>
          <w:sz w:val="24"/>
          <w:szCs w:val="24"/>
        </w:rPr>
        <w:t xml:space="preserve">, 13 párrafos 1 y 2 del </w:t>
      </w:r>
      <w:r w:rsidRPr="008A14CC">
        <w:rPr>
          <w:rFonts w:ascii="Palatino Linotype" w:eastAsia="Times New Roman" w:hAnsi="Palatino Linotype" w:cs="Arial"/>
          <w:b/>
          <w:sz w:val="24"/>
          <w:szCs w:val="24"/>
        </w:rPr>
        <w:t>Pacto de San José de Costa Rica</w:t>
      </w:r>
      <w:r w:rsidRPr="008A14CC">
        <w:rPr>
          <w:rFonts w:ascii="Palatino Linotype" w:eastAsia="Times New Roman" w:hAnsi="Palatino Linotype" w:cs="Arial"/>
          <w:sz w:val="24"/>
          <w:szCs w:val="24"/>
        </w:rPr>
        <w:t xml:space="preserve">, </w:t>
      </w:r>
      <w:r w:rsidRPr="008A14CC">
        <w:rPr>
          <w:rFonts w:ascii="Palatino Linotype" w:hAnsi="Palatino Linotype" w:cs="Arial"/>
          <w:sz w:val="24"/>
          <w:szCs w:val="24"/>
        </w:rPr>
        <w:t xml:space="preserve">11, 12, 13 de la </w:t>
      </w:r>
      <w:r w:rsidRPr="008A14CC">
        <w:rPr>
          <w:rFonts w:ascii="Palatino Linotype" w:hAnsi="Palatino Linotype"/>
          <w:b/>
          <w:sz w:val="24"/>
          <w:szCs w:val="24"/>
        </w:rPr>
        <w:t>Ley General de Transparencia y Acceso a la Información Pública</w:t>
      </w:r>
      <w:r w:rsidRPr="008A14CC">
        <w:rPr>
          <w:rFonts w:ascii="Palatino Linotype" w:eastAsia="Times New Roman" w:hAnsi="Palatino Linotype" w:cs="Arial"/>
          <w:sz w:val="24"/>
          <w:szCs w:val="24"/>
        </w:rPr>
        <w:t xml:space="preserve"> y 5 de la </w:t>
      </w:r>
      <w:r w:rsidRPr="008A14CC">
        <w:rPr>
          <w:rFonts w:ascii="Palatino Linotype" w:eastAsia="Times New Roman" w:hAnsi="Palatino Linotype" w:cs="Arial"/>
          <w:b/>
          <w:sz w:val="24"/>
          <w:szCs w:val="24"/>
        </w:rPr>
        <w:t>Constitución Política del Estado Libre y Soberano de México</w:t>
      </w:r>
      <w:r w:rsidRPr="008A14CC">
        <w:rPr>
          <w:rFonts w:ascii="Palatino Linotype" w:eastAsia="Times New Roman" w:hAnsi="Palatino Linotype" w:cs="Arial"/>
          <w:sz w:val="24"/>
          <w:szCs w:val="24"/>
        </w:rPr>
        <w:t>; y</w:t>
      </w:r>
      <w:r w:rsidRPr="008A14CC">
        <w:rPr>
          <w:rFonts w:ascii="Palatino Linotype" w:eastAsia="Times New Roman" w:hAnsi="Palatino Linotype" w:cs="Arial"/>
          <w:b/>
          <w:sz w:val="24"/>
          <w:szCs w:val="24"/>
        </w:rPr>
        <w:t xml:space="preserve">, </w:t>
      </w:r>
      <w:r w:rsidRPr="008A14CC">
        <w:rPr>
          <w:rFonts w:ascii="Palatino Linotype" w:eastAsia="Times New Roman" w:hAnsi="Palatino Linotype" w:cs="Arial"/>
          <w:sz w:val="24"/>
          <w:szCs w:val="24"/>
        </w:rPr>
        <w:t xml:space="preserve">razón por la cual todos los órganos del </w:t>
      </w:r>
      <w:r w:rsidRPr="008A14CC">
        <w:rPr>
          <w:rFonts w:ascii="Palatino Linotype" w:eastAsia="Times New Roman" w:hAnsi="Palatino Linotype" w:cs="Arial"/>
          <w:b/>
          <w:sz w:val="24"/>
          <w:szCs w:val="24"/>
        </w:rPr>
        <w:t>Estado</w:t>
      </w:r>
      <w:r w:rsidRPr="008A14CC">
        <w:rPr>
          <w:rFonts w:ascii="Palatino Linotype" w:eastAsia="Times New Roman" w:hAnsi="Palatino Linotype" w:cs="Arial"/>
          <w:sz w:val="24"/>
          <w:szCs w:val="24"/>
        </w:rPr>
        <w:t xml:space="preserve"> </w:t>
      </w:r>
      <w:r w:rsidRPr="008A14CC">
        <w:rPr>
          <w:rFonts w:ascii="Palatino Linotype" w:eastAsia="Times New Roman" w:hAnsi="Palatino Linotype" w:cs="Arial"/>
          <w:sz w:val="24"/>
          <w:szCs w:val="24"/>
        </w:rPr>
        <w:lastRenderedPageBreak/>
        <w:t>están obligados no sólo a reconocerlo sino aún más, a salvaguardarlo y en caso de contravención, a este Instituto le corresponde restituirlo.</w:t>
      </w:r>
    </w:p>
    <w:p w:rsidR="00FC06CB" w:rsidRPr="008A14CC" w:rsidRDefault="00FC06CB" w:rsidP="00FC06CB">
      <w:pPr>
        <w:spacing w:after="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cs="Arial"/>
          <w:bCs/>
          <w:color w:val="000000" w:themeColor="text1"/>
          <w:sz w:val="24"/>
          <w:szCs w:val="24"/>
        </w:rPr>
        <w:t>En efecto, el derecho fundamental de acceso a la información pública se desarrolla en varias vertientes:</w:t>
      </w:r>
    </w:p>
    <w:p w:rsidR="00FC06CB" w:rsidRPr="008A14CC" w:rsidRDefault="00FC06CB" w:rsidP="00FC06CB">
      <w:pPr>
        <w:spacing w:before="240" w:after="240" w:line="360" w:lineRule="auto"/>
        <w:ind w:left="851"/>
        <w:contextualSpacing/>
        <w:jc w:val="both"/>
        <w:rPr>
          <w:rFonts w:ascii="Palatino Linotype" w:hAnsi="Palatino Linotype" w:cs="Arial"/>
          <w:sz w:val="24"/>
          <w:szCs w:val="24"/>
        </w:rPr>
      </w:pPr>
    </w:p>
    <w:p w:rsidR="00FC06CB" w:rsidRPr="008A14CC" w:rsidRDefault="00FC06CB" w:rsidP="00FC06CB">
      <w:pPr>
        <w:numPr>
          <w:ilvl w:val="0"/>
          <w:numId w:val="3"/>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rPr>
        <w:t>Impone al Estado la obligación de protegerlo. Esto es, resulta suficiente con que una persona realice una solicitud de información para que la autoridad la atienda y entregue lo solicitado, salvo excepciones limitadas.</w:t>
      </w:r>
    </w:p>
    <w:p w:rsidR="00FC06CB" w:rsidRPr="008A14CC" w:rsidRDefault="00FC06CB" w:rsidP="00FC06CB">
      <w:pPr>
        <w:numPr>
          <w:ilvl w:val="0"/>
          <w:numId w:val="3"/>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FC06CB" w:rsidRPr="008A14CC" w:rsidRDefault="00FC06CB" w:rsidP="00FC06CB">
      <w:pPr>
        <w:numPr>
          <w:ilvl w:val="0"/>
          <w:numId w:val="3"/>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u w:val="single"/>
        </w:rPr>
        <w:t>Otorga a todos los documentos en posesión de las autoridades la calidad de públicos</w:t>
      </w:r>
      <w:r w:rsidRPr="008A14CC">
        <w:rPr>
          <w:rFonts w:ascii="Palatino Linotype" w:hAnsi="Palatino Linotype" w:cs="Arial"/>
          <w:bCs/>
          <w:color w:val="000000" w:themeColor="text1"/>
          <w:sz w:val="24"/>
          <w:szCs w:val="24"/>
        </w:rPr>
        <w:t xml:space="preserve"> y únicamente pueden ser reservados temporalmente por razones de interés público y en los términos expresamente señalados en la ley.</w:t>
      </w:r>
    </w:p>
    <w:p w:rsidR="00FC06CB" w:rsidRPr="008A14CC" w:rsidRDefault="00FC06CB" w:rsidP="00FC06CB">
      <w:pPr>
        <w:numPr>
          <w:ilvl w:val="0"/>
          <w:numId w:val="3"/>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rPr>
        <w:t xml:space="preserve">Este derecho se rige por el principio de </w:t>
      </w:r>
      <w:r w:rsidRPr="008A14CC">
        <w:rPr>
          <w:rFonts w:ascii="Palatino Linotype" w:hAnsi="Palatino Linotype" w:cs="Arial"/>
          <w:b/>
          <w:bCs/>
          <w:color w:val="000000" w:themeColor="text1"/>
          <w:sz w:val="24"/>
          <w:szCs w:val="24"/>
        </w:rPr>
        <w:t>máxima publicidad</w:t>
      </w:r>
      <w:r w:rsidRPr="008A14CC">
        <w:rPr>
          <w:rFonts w:ascii="Palatino Linotype" w:hAnsi="Palatino Linotype" w:cs="Arial"/>
          <w:bCs/>
          <w:color w:val="000000" w:themeColor="text1"/>
          <w:sz w:val="24"/>
          <w:szCs w:val="24"/>
        </w:rPr>
        <w:t>, es decir, la información que generan, administren o posean los organismos públicos son documentos de acceso a cualquier persona y para su restricción debe existir un bien jurídico mayor que proteger.</w:t>
      </w:r>
    </w:p>
    <w:p w:rsidR="00FC06CB" w:rsidRPr="008A14CC" w:rsidRDefault="00FC06CB" w:rsidP="00FC06CB">
      <w:pPr>
        <w:numPr>
          <w:ilvl w:val="0"/>
          <w:numId w:val="3"/>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FC06CB" w:rsidRPr="008A14CC" w:rsidRDefault="00FC06CB" w:rsidP="00FC06CB">
      <w:pPr>
        <w:numPr>
          <w:ilvl w:val="0"/>
          <w:numId w:val="3"/>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rPr>
        <w:t>Impone el</w:t>
      </w:r>
      <w:r w:rsidRPr="008A14CC">
        <w:rPr>
          <w:rFonts w:ascii="Palatino Linotype" w:hAnsi="Palatino Linotype"/>
          <w:bCs/>
          <w:color w:val="000000" w:themeColor="text1"/>
          <w:sz w:val="24"/>
          <w:szCs w:val="24"/>
        </w:rPr>
        <w:t xml:space="preserve"> </w:t>
      </w:r>
      <w:hyperlink r:id="rId8" w:tooltip="Derechos civiles y políticos" w:history="1">
        <w:r w:rsidRPr="008A14CC">
          <w:rPr>
            <w:rFonts w:ascii="Palatino Linotype" w:hAnsi="Palatino Linotype"/>
            <w:bCs/>
            <w:color w:val="000000" w:themeColor="text1"/>
            <w:sz w:val="24"/>
            <w:szCs w:val="24"/>
          </w:rPr>
          <w:t>derecho</w:t>
        </w:r>
      </w:hyperlink>
      <w:r w:rsidRPr="008A14CC">
        <w:rPr>
          <w:rFonts w:ascii="Palatino Linotype" w:hAnsi="Palatino Linotype"/>
          <w:bCs/>
          <w:color w:val="000000" w:themeColor="text1"/>
          <w:sz w:val="24"/>
          <w:szCs w:val="24"/>
        </w:rPr>
        <w:t xml:space="preserve"> </w:t>
      </w:r>
      <w:r w:rsidRPr="008A14CC">
        <w:rPr>
          <w:rFonts w:ascii="Palatino Linotype" w:hAnsi="Palatino Linotype" w:cs="Arial"/>
          <w:bCs/>
          <w:color w:val="000000" w:themeColor="text1"/>
          <w:sz w:val="24"/>
          <w:szCs w:val="24"/>
        </w:rPr>
        <w:t xml:space="preserve">de una persona de buscar, </w:t>
      </w:r>
      <w:r w:rsidRPr="008A14CC">
        <w:rPr>
          <w:rFonts w:ascii="Palatino Linotype" w:hAnsi="Palatino Linotype" w:cs="Arial"/>
          <w:b/>
          <w:bCs/>
          <w:color w:val="000000" w:themeColor="text1"/>
          <w:sz w:val="24"/>
          <w:szCs w:val="24"/>
          <w:u w:val="single"/>
        </w:rPr>
        <w:t xml:space="preserve">recibir </w:t>
      </w:r>
      <w:r w:rsidRPr="008A14CC">
        <w:rPr>
          <w:rFonts w:ascii="Palatino Linotype" w:hAnsi="Palatino Linotype" w:cs="Arial"/>
          <w:bCs/>
          <w:color w:val="000000" w:themeColor="text1"/>
          <w:sz w:val="24"/>
          <w:szCs w:val="24"/>
        </w:rPr>
        <w:t>y difundir información en poder del gobierno u administraciones públicas.</w:t>
      </w:r>
    </w:p>
    <w:p w:rsidR="00FC06CB" w:rsidRPr="008A14CC" w:rsidRDefault="00FC06CB" w:rsidP="00FC06CB">
      <w:p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cs="Arial"/>
          <w:sz w:val="24"/>
          <w:szCs w:val="24"/>
        </w:rPr>
        <w:t xml:space="preserve">Por tanto, para que los Sujetos Obligados hagan efectivo el derecho de las personas de </w:t>
      </w:r>
      <w:r w:rsidRPr="008A14CC">
        <w:rPr>
          <w:rFonts w:ascii="Palatino Linotype" w:hAnsi="Palatino Linotype" w:cs="Arial"/>
          <w:b/>
          <w:sz w:val="24"/>
          <w:szCs w:val="24"/>
        </w:rPr>
        <w:t>buscar, recibir y difundir información pública</w:t>
      </w:r>
      <w:r w:rsidRPr="008A14CC">
        <w:rPr>
          <w:rFonts w:ascii="Palatino Linotype" w:hAnsi="Palatino Linotype" w:cs="Arial"/>
          <w:sz w:val="24"/>
          <w:szCs w:val="24"/>
        </w:rPr>
        <w:t xml:space="preserve">, información que los </w:t>
      </w:r>
      <w:r w:rsidRPr="008A14CC">
        <w:rPr>
          <w:rFonts w:ascii="Palatino Linotype" w:hAnsi="Palatino Linotype" w:cs="Arial"/>
          <w:b/>
          <w:sz w:val="24"/>
          <w:szCs w:val="24"/>
        </w:rPr>
        <w:t>SUJETOS OBLIGADOS</w:t>
      </w:r>
      <w:r w:rsidRPr="008A14CC">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FC06CB" w:rsidRPr="008A14CC" w:rsidRDefault="00FC06CB" w:rsidP="00FC06CB">
      <w:pPr>
        <w:spacing w:before="240" w:after="24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FC06CB" w:rsidRPr="008A14CC" w:rsidRDefault="00FC06CB" w:rsidP="00FC06CB">
      <w:pPr>
        <w:spacing w:before="240" w:after="24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sz w:val="24"/>
          <w:szCs w:val="24"/>
        </w:rPr>
        <w:t xml:space="preserve">Por otra parte, tenemos la rendición de cuenta pública; que supone la capacidad de las instituciones para hacer responsables a los gobernantes de sus actos y </w:t>
      </w:r>
      <w:r w:rsidRPr="008A14CC">
        <w:rPr>
          <w:rFonts w:ascii="Palatino Linotype" w:hAnsi="Palatino Linotype"/>
          <w:sz w:val="24"/>
          <w:szCs w:val="24"/>
        </w:rPr>
        <w:lastRenderedPageBreak/>
        <w:t>decisiones en los distintos niveles de poder, eso permite evitar, prevenir y en su caso, castigar el abuso de poder.</w:t>
      </w:r>
    </w:p>
    <w:p w:rsidR="00FC06CB" w:rsidRPr="008A14CC" w:rsidRDefault="00FC06CB" w:rsidP="00FC06CB">
      <w:pPr>
        <w:spacing w:before="240" w:after="24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FC06CB" w:rsidRPr="008A14CC" w:rsidRDefault="00FC06CB" w:rsidP="00FC06CB">
      <w:pPr>
        <w:spacing w:before="240" w:after="24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sz w:val="24"/>
          <w:szCs w:val="24"/>
        </w:rPr>
        <w:t xml:space="preserve">La Constitución Política de los Estados Unidos Mexicanos, adopta la </w:t>
      </w:r>
      <w:r w:rsidRPr="008A14CC">
        <w:rPr>
          <w:rFonts w:ascii="Palatino Linotype" w:hAnsi="Palatino Linotype"/>
          <w:i/>
          <w:sz w:val="24"/>
          <w:szCs w:val="24"/>
        </w:rPr>
        <w:t>ratio decidendi</w:t>
      </w:r>
      <w:r w:rsidRPr="008A14CC">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w:t>
      </w:r>
      <w:r w:rsidRPr="008A14CC">
        <w:rPr>
          <w:rFonts w:ascii="Palatino Linotype" w:hAnsi="Palatino Linotype"/>
          <w:sz w:val="24"/>
          <w:szCs w:val="24"/>
        </w:rPr>
        <w:lastRenderedPageBreak/>
        <w:t>garantiza sin menoscabo de la intimidad de la vida privada y de los datos personales.</w:t>
      </w:r>
    </w:p>
    <w:p w:rsidR="00FC06CB" w:rsidRPr="008A14CC" w:rsidRDefault="00FC06CB" w:rsidP="00FC06CB">
      <w:pPr>
        <w:spacing w:before="240" w:after="24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FC06CB" w:rsidRPr="008A14CC" w:rsidRDefault="00FC06CB" w:rsidP="00FC06CB">
      <w:pPr>
        <w:spacing w:before="240" w:after="240" w:line="360" w:lineRule="auto"/>
        <w:contextualSpacing/>
        <w:jc w:val="both"/>
        <w:rPr>
          <w:rFonts w:ascii="Palatino Linotype" w:hAnsi="Palatino Linotype" w:cs="Arial"/>
          <w:sz w:val="24"/>
          <w:szCs w:val="24"/>
          <w:highlight w:val="lightGray"/>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sz w:val="24"/>
          <w:szCs w:val="24"/>
        </w:rPr>
      </w:pPr>
      <w:r w:rsidRPr="008A14C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FC06CB" w:rsidRPr="008A14CC" w:rsidRDefault="00FC06CB" w:rsidP="00FC06CB">
      <w:pPr>
        <w:spacing w:before="240" w:after="240" w:line="360" w:lineRule="auto"/>
        <w:contextualSpacing/>
        <w:jc w:val="both"/>
        <w:rPr>
          <w:rFonts w:ascii="Palatino Linotype" w:hAnsi="Palatino Linotype" w:cs="Arial"/>
          <w:sz w:val="24"/>
          <w:szCs w:val="24"/>
        </w:rPr>
      </w:pPr>
    </w:p>
    <w:p w:rsidR="00FC06CB" w:rsidRPr="008A14CC" w:rsidRDefault="00FC06CB" w:rsidP="00FC06CB">
      <w:pPr>
        <w:numPr>
          <w:ilvl w:val="0"/>
          <w:numId w:val="1"/>
        </w:numPr>
        <w:pBdr>
          <w:top w:val="nil"/>
          <w:left w:val="nil"/>
          <w:bottom w:val="nil"/>
          <w:right w:val="nil"/>
          <w:between w:val="nil"/>
          <w:bar w:val="nil"/>
        </w:pBdr>
        <w:spacing w:before="240" w:after="240" w:line="360" w:lineRule="auto"/>
        <w:contextualSpacing/>
        <w:jc w:val="both"/>
        <w:rPr>
          <w:rFonts w:ascii="Palatino Linotype" w:hAnsi="Palatino Linotype"/>
          <w:sz w:val="24"/>
          <w:szCs w:val="24"/>
        </w:rPr>
      </w:pPr>
      <w:r w:rsidRPr="008A14CC">
        <w:rPr>
          <w:rFonts w:ascii="Palatino Linotype" w:hAnsi="Palatino Linotype"/>
          <w:sz w:val="24"/>
          <w:szCs w:val="24"/>
        </w:rPr>
        <w:t xml:space="preserve">Derivado de dicha obligación se </w:t>
      </w:r>
      <w:r w:rsidRPr="008A14CC">
        <w:rPr>
          <w:rFonts w:ascii="Palatino Linotype" w:hAnsi="Palatino Linotype"/>
          <w:b/>
          <w:i/>
          <w:sz w:val="24"/>
          <w:szCs w:val="24"/>
        </w:rPr>
        <w:t xml:space="preserve">impone también la obligación de </w:t>
      </w:r>
      <w:r w:rsidRPr="008A14CC">
        <w:rPr>
          <w:rFonts w:ascii="Palatino Linotype" w:hAnsi="Palatino Linotype"/>
          <w:b/>
          <w:bCs/>
          <w:i/>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FC06CB" w:rsidRPr="008A14CC" w:rsidRDefault="00FC06CB" w:rsidP="00FC06CB">
      <w:pPr>
        <w:pBdr>
          <w:top w:val="nil"/>
          <w:left w:val="nil"/>
          <w:bottom w:val="nil"/>
          <w:right w:val="nil"/>
          <w:between w:val="nil"/>
          <w:bar w:val="nil"/>
        </w:pBdr>
        <w:spacing w:before="240" w:after="240" w:line="360" w:lineRule="auto"/>
        <w:contextualSpacing/>
        <w:jc w:val="both"/>
        <w:rPr>
          <w:rFonts w:ascii="Palatino Linotype" w:hAnsi="Palatino Linotype"/>
          <w:bCs/>
          <w:color w:val="000000" w:themeColor="text1"/>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bCs/>
          <w:color w:val="000000" w:themeColor="text1"/>
          <w:sz w:val="24"/>
          <w:szCs w:val="24"/>
        </w:rPr>
      </w:pPr>
      <w:r w:rsidRPr="008A14CC">
        <w:rPr>
          <w:rFonts w:ascii="Palatino Linotype" w:hAnsi="Palatino Linotype"/>
          <w:sz w:val="24"/>
          <w:szCs w:val="24"/>
        </w:rPr>
        <w:t>Bajo la tesitura de lo anteriormente expuesto</w:t>
      </w:r>
      <w:r w:rsidRPr="008A14CC">
        <w:rPr>
          <w:rFonts w:ascii="Palatino Linotype" w:hAnsi="Palatino Linotype"/>
          <w:bCs/>
          <w:color w:val="000000" w:themeColor="text1"/>
          <w:sz w:val="24"/>
          <w:szCs w:val="24"/>
        </w:rPr>
        <w:t xml:space="preserve"> </w:t>
      </w:r>
      <w:r w:rsidRPr="008A14C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FC06CB" w:rsidRPr="008A14CC" w:rsidRDefault="00FC06CB" w:rsidP="00FC06CB">
      <w:pPr>
        <w:spacing w:before="240" w:after="240" w:line="360" w:lineRule="auto"/>
        <w:contextualSpacing/>
        <w:jc w:val="both"/>
        <w:rPr>
          <w:rFonts w:ascii="Palatino Linotype" w:hAnsi="Palatino Linotype"/>
          <w:bCs/>
          <w:color w:val="000000" w:themeColor="text1"/>
          <w:sz w:val="24"/>
          <w:szCs w:val="24"/>
          <w:highlight w:val="lightGray"/>
        </w:rPr>
      </w:pPr>
    </w:p>
    <w:p w:rsidR="00FC06CB" w:rsidRPr="008A14CC" w:rsidRDefault="00FC06CB" w:rsidP="00FC06CB">
      <w:pPr>
        <w:numPr>
          <w:ilvl w:val="0"/>
          <w:numId w:val="1"/>
        </w:numPr>
        <w:spacing w:before="240" w:after="240" w:line="360" w:lineRule="auto"/>
        <w:contextualSpacing/>
        <w:jc w:val="both"/>
        <w:rPr>
          <w:rFonts w:ascii="Palatino Linotype" w:hAnsi="Palatino Linotype"/>
          <w:bCs/>
          <w:color w:val="000000" w:themeColor="text1"/>
          <w:sz w:val="24"/>
          <w:szCs w:val="24"/>
          <w:highlight w:val="lightGray"/>
        </w:rPr>
      </w:pPr>
      <w:r w:rsidRPr="008A14CC">
        <w:rPr>
          <w:rFonts w:ascii="Palatino Linotype" w:hAnsi="Palatino Linotype"/>
          <w:bCs/>
          <w:color w:val="000000" w:themeColor="text1"/>
          <w:sz w:val="24"/>
          <w:szCs w:val="24"/>
        </w:rPr>
        <w:t xml:space="preserve">Por lo que si el mismo </w:t>
      </w:r>
      <w:r w:rsidRPr="008A14CC">
        <w:rPr>
          <w:rFonts w:ascii="Palatino Linotype" w:hAnsi="Palatino Linotype"/>
          <w:b/>
          <w:bCs/>
          <w:color w:val="000000" w:themeColor="text1"/>
          <w:sz w:val="24"/>
          <w:szCs w:val="24"/>
        </w:rPr>
        <w:t>SUJETO OBLIGADO</w:t>
      </w:r>
      <w:r w:rsidRPr="008A14CC">
        <w:rPr>
          <w:rFonts w:ascii="Palatino Linotype" w:hAnsi="Palatino Linotype"/>
          <w:bCs/>
          <w:color w:val="000000" w:themeColor="text1"/>
          <w:sz w:val="24"/>
          <w:szCs w:val="24"/>
        </w:rPr>
        <w:t xml:space="preserve"> se ha manifestado afirmativamente respecto de que posee, genera y administra la información solicitada</w:t>
      </w:r>
      <w:r w:rsidRPr="008A14CC">
        <w:rPr>
          <w:rFonts w:ascii="Palatino Linotype" w:hAnsi="Palatino Linotype" w:cs="Arial"/>
          <w:b/>
          <w:sz w:val="24"/>
          <w:szCs w:val="24"/>
        </w:rPr>
        <w:t>,</w:t>
      </w:r>
      <w:r w:rsidRPr="008A14CC">
        <w:rPr>
          <w:rFonts w:ascii="Palatino Linotype" w:hAnsi="Palatino Linotype" w:cs="Arial"/>
          <w:sz w:val="24"/>
          <w:szCs w:val="24"/>
        </w:rPr>
        <w:t xml:space="preserve"> no cabe la condicionante de que se hará entrega de la información previo pago de derechos por digitalización, sino que se deben observar dos puntos importantes:</w:t>
      </w:r>
    </w:p>
    <w:p w:rsidR="00FC06CB" w:rsidRPr="008A14CC" w:rsidRDefault="00FC06CB" w:rsidP="00FC06CB">
      <w:pPr>
        <w:spacing w:before="240" w:after="240" w:line="360" w:lineRule="auto"/>
        <w:contextualSpacing/>
        <w:jc w:val="both"/>
        <w:rPr>
          <w:rFonts w:ascii="Palatino Linotype" w:hAnsi="Palatino Linotype"/>
          <w:bCs/>
          <w:color w:val="000000" w:themeColor="text1"/>
          <w:sz w:val="24"/>
          <w:szCs w:val="24"/>
          <w:highlight w:val="lightGray"/>
        </w:rPr>
      </w:pPr>
    </w:p>
    <w:p w:rsidR="00FC06CB" w:rsidRPr="008A14CC" w:rsidRDefault="00FC06CB" w:rsidP="00FC06CB">
      <w:pPr>
        <w:numPr>
          <w:ilvl w:val="0"/>
          <w:numId w:val="4"/>
        </w:numPr>
        <w:spacing w:before="240" w:after="240" w:line="360" w:lineRule="auto"/>
        <w:ind w:left="567" w:right="616"/>
        <w:contextualSpacing/>
        <w:jc w:val="both"/>
        <w:rPr>
          <w:rFonts w:ascii="Palatino Linotype" w:hAnsi="Palatino Linotype"/>
          <w:bCs/>
          <w:color w:val="000000" w:themeColor="text1"/>
          <w:sz w:val="24"/>
          <w:szCs w:val="24"/>
        </w:rPr>
      </w:pPr>
      <w:r w:rsidRPr="008A14CC">
        <w:rPr>
          <w:rFonts w:ascii="Palatino Linotype" w:hAnsi="Palatino Linotype"/>
          <w:bCs/>
          <w:color w:val="000000" w:themeColor="text1"/>
          <w:sz w:val="24"/>
          <w:szCs w:val="24"/>
        </w:rPr>
        <w:t xml:space="preserve">Si la posesión de la información es de carácter inexcusable, es decir </w:t>
      </w:r>
      <w:r w:rsidRPr="008A14CC">
        <w:rPr>
          <w:rFonts w:ascii="Palatino Linotype" w:hAnsi="Palatino Linotype"/>
          <w:sz w:val="24"/>
          <w:szCs w:val="24"/>
        </w:rPr>
        <w:t>si el sujeto obligado, en el ejercicio de sus atribuciones, debe generar, poseer o administrar la información, deberá entenderse como información de oficio aplicable a la rendición de cuenta pública a pesar de no figurar en los preceptos legales aplicables de los artículos 92, 94 o 98 de la Ley de Transparencia y Acceso a la Información Pública del Estado de México y Municipios.</w:t>
      </w:r>
    </w:p>
    <w:p w:rsidR="00FC06CB" w:rsidRPr="008A14CC" w:rsidRDefault="00FC06CB" w:rsidP="00FC06CB">
      <w:pPr>
        <w:spacing w:before="240" w:after="240" w:line="360" w:lineRule="auto"/>
        <w:ind w:left="567" w:right="616"/>
        <w:contextualSpacing/>
        <w:jc w:val="both"/>
        <w:rPr>
          <w:rFonts w:ascii="Palatino Linotype" w:hAnsi="Palatino Linotype"/>
          <w:bCs/>
          <w:color w:val="000000" w:themeColor="text1"/>
          <w:sz w:val="24"/>
          <w:szCs w:val="24"/>
        </w:rPr>
      </w:pPr>
    </w:p>
    <w:p w:rsidR="00FC06CB" w:rsidRPr="008A14CC" w:rsidRDefault="00FC06CB" w:rsidP="00FC06CB">
      <w:pPr>
        <w:numPr>
          <w:ilvl w:val="0"/>
          <w:numId w:val="4"/>
        </w:numPr>
        <w:spacing w:before="240" w:after="240" w:line="360" w:lineRule="auto"/>
        <w:ind w:left="567" w:right="616"/>
        <w:contextualSpacing/>
        <w:jc w:val="both"/>
        <w:rPr>
          <w:rFonts w:ascii="Palatino Linotype" w:hAnsi="Palatino Linotype"/>
          <w:bCs/>
          <w:color w:val="000000" w:themeColor="text1"/>
          <w:sz w:val="24"/>
          <w:szCs w:val="24"/>
        </w:rPr>
      </w:pPr>
      <w:r w:rsidRPr="008A14CC">
        <w:rPr>
          <w:rFonts w:ascii="Palatino Linotype" w:hAnsi="Palatino Linotype"/>
          <w:sz w:val="24"/>
          <w:szCs w:val="24"/>
        </w:rPr>
        <w:t xml:space="preserve">El cobro por digitalizar archivos o documentos reconocido dentro del artículo 73 fracción VI del Código Financiero del Estado de México, </w:t>
      </w:r>
      <w:r w:rsidRPr="008A14CC">
        <w:rPr>
          <w:rFonts w:ascii="Palatino Linotype" w:hAnsi="Palatino Linotype"/>
          <w:sz w:val="24"/>
          <w:szCs w:val="24"/>
          <w:u w:val="single"/>
        </w:rPr>
        <w:t>contradice los Lineamientos para la Organización y Conservación de Archivos</w:t>
      </w:r>
      <w:r w:rsidRPr="008A14CC">
        <w:rPr>
          <w:rFonts w:ascii="Palatino Linotype" w:hAnsi="Palatino Linotype"/>
          <w:sz w:val="24"/>
          <w:szCs w:val="24"/>
        </w:rPr>
        <w:t>, del Sistema Nacional de Transparencia, Acceso a la Información Pública y Protección de Datos Personales.</w:t>
      </w:r>
    </w:p>
    <w:p w:rsidR="00FC06CB" w:rsidRPr="008A14CC" w:rsidRDefault="00FC06CB" w:rsidP="00FC06CB">
      <w:pPr>
        <w:spacing w:before="240" w:after="240" w:line="360" w:lineRule="auto"/>
        <w:contextualSpacing/>
        <w:jc w:val="both"/>
        <w:rPr>
          <w:rFonts w:ascii="Palatino Linotype" w:hAnsi="Palatino Linotype"/>
          <w:sz w:val="24"/>
          <w:szCs w:val="24"/>
          <w:highlight w:val="lightGray"/>
        </w:rPr>
      </w:pPr>
    </w:p>
    <w:p w:rsidR="00FC06CB" w:rsidRPr="00EF3F47" w:rsidRDefault="00FC06CB" w:rsidP="00FC06CB">
      <w:pPr>
        <w:numPr>
          <w:ilvl w:val="0"/>
          <w:numId w:val="1"/>
        </w:numPr>
        <w:pBdr>
          <w:top w:val="nil"/>
          <w:left w:val="nil"/>
          <w:bottom w:val="nil"/>
          <w:right w:val="nil"/>
          <w:between w:val="nil"/>
          <w:bar w:val="nil"/>
        </w:pBdr>
        <w:spacing w:before="240" w:after="240" w:line="360" w:lineRule="auto"/>
        <w:contextualSpacing/>
        <w:jc w:val="both"/>
        <w:rPr>
          <w:rFonts w:ascii="Palatino Linotype" w:hAnsi="Palatino Linotype"/>
          <w:sz w:val="24"/>
          <w:szCs w:val="24"/>
        </w:rPr>
      </w:pPr>
      <w:r w:rsidRPr="008A14CC">
        <w:rPr>
          <w:rFonts w:ascii="Palatino Linotype" w:hAnsi="Palatino Linotype" w:cs="Arial"/>
          <w:sz w:val="24"/>
          <w:szCs w:val="24"/>
        </w:rPr>
        <w:lastRenderedPageBreak/>
        <w:t>En razón a las consideraciones antes señaladas es que no puedo compartir el sentido de la resolución adoptada, y me permito manifestar lo siguiente en el presente voto particular:</w:t>
      </w:r>
    </w:p>
    <w:p w:rsidR="00FC06CB" w:rsidRPr="008A14CC" w:rsidRDefault="00FC06CB" w:rsidP="00FC06CB">
      <w:pPr>
        <w:pBdr>
          <w:top w:val="nil"/>
          <w:left w:val="nil"/>
          <w:bottom w:val="nil"/>
          <w:right w:val="nil"/>
          <w:between w:val="nil"/>
          <w:bar w:val="nil"/>
        </w:pBdr>
        <w:spacing w:before="240" w:after="240" w:line="360" w:lineRule="auto"/>
        <w:ind w:left="360"/>
        <w:contextualSpacing/>
        <w:jc w:val="both"/>
        <w:rPr>
          <w:rFonts w:ascii="Palatino Linotype" w:hAnsi="Palatino Linotype"/>
          <w:sz w:val="24"/>
          <w:szCs w:val="24"/>
        </w:rPr>
      </w:pPr>
    </w:p>
    <w:p w:rsidR="00FC06CB" w:rsidRPr="008A14CC" w:rsidRDefault="00FC06CB" w:rsidP="00FC06CB">
      <w:pPr>
        <w:keepNext/>
        <w:keepLines/>
        <w:spacing w:before="240" w:after="0"/>
        <w:outlineLvl w:val="0"/>
        <w:rPr>
          <w:rFonts w:ascii="Palatino Linotype" w:eastAsia="Calibri" w:hAnsi="Palatino Linotype" w:cstheme="majorBidi"/>
          <w:sz w:val="24"/>
          <w:szCs w:val="24"/>
        </w:rPr>
      </w:pPr>
      <w:bookmarkStart w:id="5" w:name="_Toc516449144"/>
      <w:r w:rsidRPr="008A14CC">
        <w:rPr>
          <w:rFonts w:ascii="Palatino Linotype" w:eastAsia="Calibri" w:hAnsi="Palatino Linotype" w:cstheme="majorBidi"/>
          <w:b/>
          <w:sz w:val="24"/>
          <w:szCs w:val="24"/>
        </w:rPr>
        <w:t>IV. Del Principio de Gratuidad</w:t>
      </w:r>
      <w:bookmarkEnd w:id="5"/>
    </w:p>
    <w:p w:rsidR="00FC06CB" w:rsidRPr="008A14CC" w:rsidRDefault="00FC06CB" w:rsidP="00FC06CB">
      <w:pPr>
        <w:spacing w:after="0" w:line="360" w:lineRule="auto"/>
        <w:contextualSpacing/>
        <w:jc w:val="both"/>
        <w:rPr>
          <w:rFonts w:ascii="Palatino Linotype" w:eastAsia="Calibri" w:hAnsi="Palatino Linotype" w:cs="Arial"/>
          <w:sz w:val="24"/>
          <w:szCs w:val="24"/>
        </w:rPr>
      </w:pPr>
    </w:p>
    <w:p w:rsidR="00FC06CB" w:rsidRPr="008A14CC" w:rsidRDefault="00FC06CB" w:rsidP="00FC06CB">
      <w:pPr>
        <w:numPr>
          <w:ilvl w:val="0"/>
          <w:numId w:val="1"/>
        </w:numPr>
        <w:autoSpaceDE w:val="0"/>
        <w:autoSpaceDN w:val="0"/>
        <w:adjustRightInd w:val="0"/>
        <w:spacing w:before="240" w:after="240" w:line="360" w:lineRule="auto"/>
        <w:ind w:right="51"/>
        <w:contextualSpacing/>
        <w:jc w:val="both"/>
        <w:rPr>
          <w:rFonts w:ascii="Palatino Linotype" w:hAnsi="Palatino Linotype" w:cs="Arial"/>
          <w:bCs/>
          <w:color w:val="000000" w:themeColor="text1"/>
          <w:sz w:val="24"/>
          <w:szCs w:val="24"/>
        </w:rPr>
      </w:pPr>
      <w:r w:rsidRPr="008A14CC">
        <w:rPr>
          <w:rFonts w:ascii="Palatino Linotype" w:hAnsi="Palatino Linotype" w:cs="Arial"/>
          <w:bCs/>
          <w:color w:val="000000" w:themeColor="text1"/>
          <w:sz w:val="24"/>
          <w:szCs w:val="24"/>
        </w:rPr>
        <w:t xml:space="preserve">Como parte del Derecho de Acceso a la Información Pública se contempla la observancia de principios en su carácter de </w:t>
      </w:r>
      <w:r w:rsidRPr="008A14CC">
        <w:rPr>
          <w:rFonts w:ascii="Palatino Linotype" w:hAnsi="Palatino Linotype" w:cs="Arial"/>
          <w:b/>
          <w:bCs/>
          <w:color w:val="000000" w:themeColor="text1"/>
          <w:sz w:val="24"/>
          <w:szCs w:val="24"/>
          <w:u w:val="single"/>
        </w:rPr>
        <w:t>gratuita</w:t>
      </w:r>
      <w:r w:rsidRPr="008A14CC">
        <w:rPr>
          <w:rFonts w:ascii="Palatino Linotype" w:hAnsi="Palatino Linotype" w:cs="Arial"/>
          <w:bCs/>
          <w:color w:val="000000" w:themeColor="text1"/>
          <w:sz w:val="24"/>
          <w:szCs w:val="24"/>
        </w:rPr>
        <w:t xml:space="preserve">, veraz, confiable, oportuna, congruente, integral, actualizada, accesible, comprensible, verificable y de fácil acceso. </w:t>
      </w:r>
    </w:p>
    <w:p w:rsidR="00FC06CB" w:rsidRPr="008A14CC" w:rsidRDefault="00FC06CB" w:rsidP="00FC06CB">
      <w:pPr>
        <w:autoSpaceDE w:val="0"/>
        <w:autoSpaceDN w:val="0"/>
        <w:adjustRightInd w:val="0"/>
        <w:spacing w:before="240" w:after="240" w:line="360" w:lineRule="auto"/>
        <w:ind w:left="720" w:right="51"/>
        <w:contextualSpacing/>
        <w:jc w:val="both"/>
        <w:rPr>
          <w:rFonts w:ascii="Palatino Linotype" w:hAnsi="Palatino Linotype" w:cs="Arial"/>
          <w:bCs/>
          <w:color w:val="000000" w:themeColor="text1"/>
          <w:sz w:val="24"/>
          <w:szCs w:val="24"/>
        </w:rPr>
      </w:pPr>
    </w:p>
    <w:p w:rsidR="00FC06CB" w:rsidRPr="008A14CC" w:rsidRDefault="00FC06CB" w:rsidP="00FC06CB">
      <w:pPr>
        <w:numPr>
          <w:ilvl w:val="0"/>
          <w:numId w:val="1"/>
        </w:numPr>
        <w:autoSpaceDE w:val="0"/>
        <w:autoSpaceDN w:val="0"/>
        <w:adjustRightInd w:val="0"/>
        <w:spacing w:before="240" w:after="240" w:line="360" w:lineRule="auto"/>
        <w:ind w:right="51"/>
        <w:contextualSpacing/>
        <w:jc w:val="both"/>
        <w:rPr>
          <w:rFonts w:ascii="Palatino Linotype" w:hAnsi="Palatino Linotype" w:cs="Arial"/>
          <w:bCs/>
          <w:color w:val="000000" w:themeColor="text1"/>
          <w:sz w:val="24"/>
          <w:szCs w:val="24"/>
        </w:rPr>
      </w:pPr>
      <w:r w:rsidRPr="008A14CC">
        <w:rPr>
          <w:rFonts w:ascii="Palatino Linotype" w:hAnsi="Palatino Linotype" w:cs="Arial"/>
          <w:iCs/>
          <w:color w:val="000000" w:themeColor="text1"/>
          <w:sz w:val="24"/>
          <w:szCs w:val="24"/>
        </w:rPr>
        <w:t xml:space="preserve">La </w:t>
      </w:r>
      <w:r w:rsidRPr="008A14CC">
        <w:rPr>
          <w:rFonts w:ascii="Palatino Linotype" w:hAnsi="Palatino Linotype" w:cs="Arial"/>
          <w:b/>
          <w:bCs/>
          <w:color w:val="000000" w:themeColor="text1"/>
          <w:sz w:val="24"/>
          <w:szCs w:val="24"/>
        </w:rPr>
        <w:t>Ley General de Transparencia y Acceso a la Información Pública</w:t>
      </w:r>
      <w:r w:rsidRPr="008A14CC">
        <w:rPr>
          <w:rFonts w:ascii="Palatino Linotype" w:hAnsi="Palatino Linotype" w:cs="Arial"/>
          <w:bCs/>
          <w:color w:val="000000" w:themeColor="text1"/>
          <w:sz w:val="24"/>
          <w:szCs w:val="24"/>
        </w:rPr>
        <w:t xml:space="preserve"> señala explícitamente en su artículo 17 que el ejercicio del derecho de acceso a la información será gratuito y sólo podrá requerirse el cobro correspondiente a la modalidad de reproducción y entrega solicitada.</w:t>
      </w:r>
    </w:p>
    <w:p w:rsidR="00FC06CB" w:rsidRPr="008A14CC" w:rsidRDefault="00FC06CB" w:rsidP="00FC06CB">
      <w:pPr>
        <w:autoSpaceDE w:val="0"/>
        <w:autoSpaceDN w:val="0"/>
        <w:adjustRightInd w:val="0"/>
        <w:spacing w:before="240" w:after="240" w:line="360" w:lineRule="auto"/>
        <w:ind w:left="720" w:right="51"/>
        <w:contextualSpacing/>
        <w:jc w:val="both"/>
        <w:rPr>
          <w:rFonts w:ascii="Palatino Linotype" w:hAnsi="Palatino Linotype" w:cs="Arial"/>
          <w:bCs/>
          <w:color w:val="000000" w:themeColor="text1"/>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 xml:space="preserve">Dentro de los principios que la Constitución Política del Estado Libre y Soberano de México, señala para hacer efectivo el derecho de acceso a la información pública, se encuentra el de la </w:t>
      </w:r>
      <w:r w:rsidRPr="008A14CC">
        <w:rPr>
          <w:rFonts w:ascii="Palatino Linotype" w:hAnsi="Palatino Linotype" w:cs="Arial"/>
          <w:b/>
          <w:bCs/>
          <w:sz w:val="24"/>
          <w:szCs w:val="24"/>
        </w:rPr>
        <w:t>gratuidad</w:t>
      </w:r>
      <w:r w:rsidRPr="008A14CC">
        <w:rPr>
          <w:rFonts w:ascii="Palatino Linotype" w:hAnsi="Palatino Linotype" w:cs="Arial"/>
          <w:bCs/>
          <w:sz w:val="24"/>
          <w:szCs w:val="24"/>
        </w:rPr>
        <w:t xml:space="preserve"> y el </w:t>
      </w:r>
      <w:r w:rsidRPr="008A14CC">
        <w:rPr>
          <w:rFonts w:ascii="Palatino Linotype" w:hAnsi="Palatino Linotype" w:cs="Arial"/>
          <w:b/>
          <w:bCs/>
          <w:sz w:val="24"/>
          <w:szCs w:val="24"/>
        </w:rPr>
        <w:t>uso de las herramientas tecnológicas de la información</w:t>
      </w:r>
      <w:r w:rsidRPr="008A14CC">
        <w:rPr>
          <w:rFonts w:ascii="Palatino Linotype" w:hAnsi="Palatino Linotype" w:cs="Arial"/>
          <w:bCs/>
          <w:sz w:val="24"/>
          <w:szCs w:val="24"/>
        </w:rPr>
        <w:t xml:space="preserve"> puesta a disposición, tanto de los particulares como de los </w:t>
      </w:r>
      <w:r w:rsidRPr="008A14CC">
        <w:rPr>
          <w:rFonts w:ascii="Palatino Linotype" w:hAnsi="Palatino Linotype" w:cs="Arial"/>
          <w:b/>
          <w:bCs/>
          <w:sz w:val="24"/>
          <w:szCs w:val="24"/>
        </w:rPr>
        <w:t>SUJETOS OBLIGADOS</w:t>
      </w:r>
      <w:r w:rsidRPr="008A14CC">
        <w:rPr>
          <w:rFonts w:ascii="Palatino Linotype" w:hAnsi="Palatino Linotype" w:cs="Arial"/>
          <w:bCs/>
          <w:sz w:val="24"/>
          <w:szCs w:val="24"/>
        </w:rPr>
        <w:t xml:space="preserve">. Es por esta razón que la </w:t>
      </w:r>
      <w:r w:rsidRPr="008A14CC">
        <w:rPr>
          <w:rFonts w:ascii="Palatino Linotype" w:hAnsi="Palatino Linotype" w:cs="Arial"/>
          <w:b/>
          <w:bCs/>
          <w:sz w:val="24"/>
          <w:szCs w:val="24"/>
        </w:rPr>
        <w:t>Ley de Transparencia y Acceso a la Información Pública del Estado de México y Municipios</w:t>
      </w:r>
      <w:r w:rsidRPr="008A14CC">
        <w:rPr>
          <w:rFonts w:ascii="Palatino Linotype" w:hAnsi="Palatino Linotype" w:cs="Arial"/>
          <w:bCs/>
          <w:sz w:val="24"/>
          <w:szCs w:val="24"/>
        </w:rPr>
        <w:t xml:space="preserve">, en </w:t>
      </w:r>
      <w:r w:rsidRPr="008A14CC">
        <w:rPr>
          <w:rFonts w:ascii="Palatino Linotype" w:hAnsi="Palatino Linotype" w:cs="Arial"/>
          <w:bCs/>
          <w:sz w:val="24"/>
          <w:szCs w:val="24"/>
        </w:rPr>
        <w:lastRenderedPageBreak/>
        <w:t xml:space="preserve">concordancia con la Ley General de Transparencia y la Constitución local señala las directrices y procedimientos que deben seguirse para poner a disposición de las personas la información. </w:t>
      </w:r>
    </w:p>
    <w:p w:rsidR="00FC06CB" w:rsidRPr="008A14CC" w:rsidRDefault="00FC06CB" w:rsidP="00FC06CB">
      <w:pPr>
        <w:ind w:left="720"/>
        <w:contextualSpacing/>
        <w:rPr>
          <w:rFonts w:ascii="Palatino Linotype" w:hAnsi="Palatino Linotype" w:cs="Arial"/>
          <w:bCs/>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 xml:space="preserve">De manera específica el artículo 9 fracción III de la Ley de Transparencia y Acceso a la Información Pública del Estado de México y Municipios establece: </w:t>
      </w:r>
    </w:p>
    <w:p w:rsidR="00FC06CB" w:rsidRPr="008A14CC" w:rsidRDefault="00FC06CB" w:rsidP="00FC06CB">
      <w:pPr>
        <w:spacing w:before="240" w:after="0" w:line="360" w:lineRule="auto"/>
        <w:ind w:left="851" w:right="616"/>
        <w:contextualSpacing/>
        <w:jc w:val="both"/>
        <w:rPr>
          <w:rFonts w:ascii="Palatino Linotype" w:hAnsi="Palatino Linotype"/>
          <w:i/>
        </w:rPr>
      </w:pPr>
      <w:r w:rsidRPr="008A14CC">
        <w:rPr>
          <w:rFonts w:ascii="Palatino Linotype" w:hAnsi="Palatino Linotype"/>
          <w:b/>
          <w:i/>
        </w:rPr>
        <w:t xml:space="preserve">Artículo 9. </w:t>
      </w:r>
      <w:r w:rsidRPr="008A14CC">
        <w:rPr>
          <w:rFonts w:ascii="Palatino Linotype" w:hAnsi="Palatino Linotype"/>
          <w:i/>
        </w:rPr>
        <w:t>El Instituto deberá regir su funcionamiento de acuerdo a los siguientes principios:</w:t>
      </w:r>
    </w:p>
    <w:p w:rsidR="00FC06CB" w:rsidRPr="008A14CC" w:rsidRDefault="00FC06CB" w:rsidP="00FC06CB">
      <w:pPr>
        <w:spacing w:before="240" w:after="0" w:line="360" w:lineRule="auto"/>
        <w:ind w:left="851" w:right="616"/>
        <w:contextualSpacing/>
        <w:jc w:val="both"/>
        <w:rPr>
          <w:rFonts w:ascii="Palatino Linotype" w:hAnsi="Palatino Linotype" w:cs="Arial"/>
          <w:b/>
          <w:i/>
          <w:iCs/>
          <w:color w:val="000000" w:themeColor="text1"/>
          <w:sz w:val="24"/>
          <w:szCs w:val="24"/>
        </w:rPr>
      </w:pPr>
      <w:r w:rsidRPr="008A14CC">
        <w:rPr>
          <w:rFonts w:ascii="Palatino Linotype" w:hAnsi="Palatino Linotype"/>
          <w:b/>
          <w:i/>
        </w:rPr>
        <w:t>…</w:t>
      </w:r>
    </w:p>
    <w:p w:rsidR="00FC06CB" w:rsidRPr="008A14CC" w:rsidRDefault="00FC06CB" w:rsidP="00FC06CB">
      <w:pPr>
        <w:spacing w:line="360" w:lineRule="auto"/>
        <w:ind w:left="851" w:right="616"/>
        <w:jc w:val="both"/>
        <w:rPr>
          <w:rFonts w:ascii="Palatino Linotype" w:hAnsi="Palatino Linotype"/>
          <w:i/>
        </w:rPr>
      </w:pPr>
      <w:r w:rsidRPr="008A14CC">
        <w:rPr>
          <w:rFonts w:ascii="Palatino Linotype" w:hAnsi="Palatino Linotype"/>
          <w:i/>
        </w:rPr>
        <w:t xml:space="preserve">III. Gratuidad: Consiste en que el acceso a la información pública </w:t>
      </w:r>
      <w:r w:rsidRPr="008A14CC">
        <w:rPr>
          <w:rFonts w:ascii="Palatino Linotype" w:hAnsi="Palatino Linotype"/>
          <w:b/>
          <w:i/>
        </w:rPr>
        <w:t>no genera costo alguno para los solicitantes</w:t>
      </w:r>
      <w:r w:rsidRPr="008A14CC">
        <w:rPr>
          <w:rFonts w:ascii="Palatino Linotype" w:hAnsi="Palatino Linotype"/>
          <w:i/>
        </w:rPr>
        <w:t xml:space="preserve">, </w:t>
      </w:r>
      <w:r w:rsidRPr="008A14CC">
        <w:rPr>
          <w:rFonts w:ascii="Palatino Linotype" w:hAnsi="Palatino Linotype"/>
          <w:b/>
          <w:i/>
        </w:rPr>
        <w:t>sólo podrá requerirse el cobro correspondiente a la modalidad de reproducción y entrega solicitada</w:t>
      </w:r>
      <w:r w:rsidRPr="008A14CC">
        <w:rPr>
          <w:rFonts w:ascii="Palatino Linotype" w:hAnsi="Palatino Linotype"/>
          <w:i/>
        </w:rPr>
        <w:t xml:space="preserve"> conforme a lo establecido en la presente Ley y demás disposiciones jurídicas aplicables;</w:t>
      </w: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 xml:space="preserve">En este orden de ideas el artículo 150 de la Ley en referencia en su texto literal refiere: </w:t>
      </w:r>
    </w:p>
    <w:p w:rsidR="00FC06CB" w:rsidRPr="008A14CC" w:rsidRDefault="00FC06CB" w:rsidP="00FC06CB">
      <w:pPr>
        <w:spacing w:before="240" w:after="240" w:line="360" w:lineRule="auto"/>
        <w:ind w:left="720"/>
        <w:contextualSpacing/>
        <w:jc w:val="both"/>
        <w:rPr>
          <w:rFonts w:ascii="Palatino Linotype" w:hAnsi="Palatino Linotype" w:cs="Arial"/>
          <w:bCs/>
          <w:sz w:val="24"/>
          <w:szCs w:val="24"/>
        </w:rPr>
      </w:pPr>
    </w:p>
    <w:p w:rsidR="00FC06CB" w:rsidRPr="008A14CC" w:rsidRDefault="00FC06CB" w:rsidP="00FC06CB">
      <w:pPr>
        <w:spacing w:before="240" w:after="240" w:line="360" w:lineRule="auto"/>
        <w:ind w:left="851" w:right="616"/>
        <w:contextualSpacing/>
        <w:jc w:val="both"/>
        <w:rPr>
          <w:rFonts w:ascii="Palatino Linotype" w:hAnsi="Palatino Linotype"/>
          <w:i/>
        </w:rPr>
      </w:pPr>
      <w:r w:rsidRPr="008A14CC">
        <w:rPr>
          <w:rFonts w:ascii="Palatino Linotype" w:hAnsi="Palatino Linotype"/>
          <w:i/>
        </w:rPr>
        <w:t>“</w:t>
      </w:r>
      <w:r w:rsidRPr="008A14CC">
        <w:rPr>
          <w:rFonts w:ascii="Palatino Linotype" w:hAnsi="Palatino Linotype"/>
          <w:b/>
          <w:i/>
        </w:rPr>
        <w:t>Artículo 150.</w:t>
      </w:r>
      <w:r w:rsidRPr="008A14CC">
        <w:rPr>
          <w:rFonts w:ascii="Palatino Linotype" w:hAnsi="Palatino Linotype"/>
          <w:i/>
        </w:rPr>
        <w:t xml:space="preserve"> El procedimiento de acceso a la información es la garantía primaria del derecho en cuestión y se rige por los principios de simplicidad, rapidez </w:t>
      </w:r>
      <w:r w:rsidRPr="008A14CC">
        <w:rPr>
          <w:rFonts w:ascii="Palatino Linotype" w:hAnsi="Palatino Linotype"/>
          <w:b/>
          <w:i/>
        </w:rPr>
        <w:t>gratuidad del procedimiento</w:t>
      </w:r>
      <w:r w:rsidRPr="008A14CC">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FC06CB" w:rsidRPr="008A14CC" w:rsidRDefault="00FC06CB" w:rsidP="00FC06CB">
      <w:pPr>
        <w:spacing w:before="240" w:after="240" w:line="360" w:lineRule="auto"/>
        <w:ind w:left="851" w:right="616"/>
        <w:contextualSpacing/>
        <w:jc w:val="both"/>
        <w:rPr>
          <w:rFonts w:ascii="Palatino Linotype" w:hAnsi="Palatino Linotype" w:cs="Arial"/>
          <w:bCs/>
          <w:i/>
          <w:sz w:val="24"/>
          <w:szCs w:val="24"/>
        </w:rPr>
      </w:pPr>
    </w:p>
    <w:p w:rsidR="00FC06CB" w:rsidRPr="008A14CC" w:rsidRDefault="00FC06CB" w:rsidP="00FC06CB">
      <w:pPr>
        <w:numPr>
          <w:ilvl w:val="0"/>
          <w:numId w:val="1"/>
        </w:numPr>
        <w:spacing w:before="240" w:after="240" w:line="360" w:lineRule="auto"/>
        <w:contextualSpacing/>
        <w:jc w:val="both"/>
        <w:rPr>
          <w:rFonts w:ascii="Palatino Linotype" w:eastAsia="Times New Roman" w:hAnsi="Palatino Linotype" w:cs="Arial"/>
          <w:sz w:val="24"/>
          <w:szCs w:val="24"/>
        </w:rPr>
      </w:pPr>
      <w:r w:rsidRPr="008A14CC">
        <w:rPr>
          <w:rFonts w:ascii="Palatino Linotype" w:hAnsi="Palatino Linotype" w:cs="Arial"/>
          <w:bCs/>
          <w:sz w:val="24"/>
          <w:szCs w:val="24"/>
        </w:rPr>
        <w:lastRenderedPageBreak/>
        <w:t xml:space="preserve">Para satisfacer plenamente el Derecho de Acceso a la Información Pública, este Órgano Garante debe velar por que el procedimiento de Acceso a la Información Que es la garantía primaria del derecho en cuestión se observen los principios de simplicidad, rapidez </w:t>
      </w:r>
      <w:r w:rsidRPr="008A14CC">
        <w:rPr>
          <w:rFonts w:ascii="Palatino Linotype" w:hAnsi="Palatino Linotype" w:cs="Arial"/>
          <w:b/>
          <w:bCs/>
          <w:i/>
          <w:sz w:val="24"/>
          <w:szCs w:val="24"/>
        </w:rPr>
        <w:t>gratuidad del procedimiento</w:t>
      </w:r>
      <w:r w:rsidRPr="008A14CC">
        <w:rPr>
          <w:rFonts w:ascii="Palatino Linotype" w:hAnsi="Palatino Linotype" w:cs="Arial"/>
          <w:bCs/>
          <w:sz w:val="24"/>
          <w:szCs w:val="24"/>
        </w:rPr>
        <w:t xml:space="preserve">, así como auxilio y orientación a los particulares con el propósito de otorgar la protección más amplia del derecho humano de las personas. </w:t>
      </w:r>
    </w:p>
    <w:p w:rsidR="00FC06CB" w:rsidRPr="008A14CC" w:rsidRDefault="00FC06CB" w:rsidP="00FC06CB">
      <w:pPr>
        <w:spacing w:before="240" w:after="240" w:line="360" w:lineRule="auto"/>
        <w:ind w:left="720"/>
        <w:contextualSpacing/>
        <w:jc w:val="both"/>
        <w:rPr>
          <w:rFonts w:ascii="Palatino Linotype" w:eastAsia="Times New Roman" w:hAnsi="Palatino Linotype" w:cs="Arial"/>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De los preceptos jurídicos citados se advierte que para garantizar plenamente el Derecho de Acceso a la Información Pública, se deben observar cada uno de los principios que la propia ley señala, y así como es importante el principio de máxima publicidad, también lo es el principio de gratuidad del procedimiento, y la Ley es muy clara al especificar que: “</w:t>
      </w:r>
      <w:r w:rsidRPr="008A14CC">
        <w:rPr>
          <w:rFonts w:ascii="Palatino Linotype" w:hAnsi="Palatino Linotype"/>
          <w:b/>
          <w:i/>
          <w:sz w:val="24"/>
          <w:szCs w:val="24"/>
        </w:rPr>
        <w:t xml:space="preserve">sólo podrá requerirse el cobro correspondiente a la modalidad de reproducción y entrega solicitada” </w:t>
      </w:r>
      <w:r w:rsidRPr="008A14CC">
        <w:rPr>
          <w:rFonts w:ascii="Palatino Linotype" w:hAnsi="Palatino Linotype"/>
          <w:sz w:val="24"/>
          <w:szCs w:val="24"/>
        </w:rPr>
        <w:t xml:space="preserve">y en el caso concreto sobre el cual emito el voto particular, la </w:t>
      </w:r>
      <w:r w:rsidRPr="008A14CC">
        <w:rPr>
          <w:rFonts w:ascii="Palatino Linotype" w:hAnsi="Palatino Linotype"/>
          <w:b/>
          <w:sz w:val="24"/>
          <w:szCs w:val="24"/>
        </w:rPr>
        <w:t xml:space="preserve">RECURRENTE, </w:t>
      </w:r>
      <w:r w:rsidRPr="008A14CC">
        <w:rPr>
          <w:rFonts w:ascii="Palatino Linotype" w:hAnsi="Palatino Linotype"/>
          <w:sz w:val="24"/>
          <w:szCs w:val="24"/>
        </w:rPr>
        <w:t>al formular la</w:t>
      </w:r>
      <w:r>
        <w:rPr>
          <w:rFonts w:ascii="Palatino Linotype" w:hAnsi="Palatino Linotype"/>
          <w:sz w:val="24"/>
          <w:szCs w:val="24"/>
        </w:rPr>
        <w:t>s</w:t>
      </w:r>
      <w:r w:rsidRPr="008A14CC">
        <w:rPr>
          <w:rFonts w:ascii="Palatino Linotype" w:hAnsi="Palatino Linotype"/>
          <w:sz w:val="24"/>
          <w:szCs w:val="24"/>
        </w:rPr>
        <w:t xml:space="preserve"> solicitud</w:t>
      </w:r>
      <w:r>
        <w:rPr>
          <w:rFonts w:ascii="Palatino Linotype" w:hAnsi="Palatino Linotype"/>
          <w:sz w:val="24"/>
          <w:szCs w:val="24"/>
        </w:rPr>
        <w:t>es</w:t>
      </w:r>
      <w:r w:rsidRPr="008A14CC">
        <w:rPr>
          <w:rFonts w:ascii="Palatino Linotype" w:hAnsi="Palatino Linotype"/>
          <w:sz w:val="24"/>
          <w:szCs w:val="24"/>
        </w:rPr>
        <w:t xml:space="preserve"> de información, requirió que la</w:t>
      </w:r>
      <w:r>
        <w:rPr>
          <w:rFonts w:ascii="Palatino Linotype" w:hAnsi="Palatino Linotype"/>
          <w:sz w:val="24"/>
          <w:szCs w:val="24"/>
        </w:rPr>
        <w:t>s</w:t>
      </w:r>
      <w:r w:rsidRPr="008A14CC">
        <w:rPr>
          <w:rFonts w:ascii="Palatino Linotype" w:hAnsi="Palatino Linotype"/>
          <w:sz w:val="24"/>
          <w:szCs w:val="24"/>
        </w:rPr>
        <w:t xml:space="preserve"> misma</w:t>
      </w:r>
      <w:r>
        <w:rPr>
          <w:rFonts w:ascii="Palatino Linotype" w:hAnsi="Palatino Linotype"/>
          <w:sz w:val="24"/>
          <w:szCs w:val="24"/>
        </w:rPr>
        <w:t>s</w:t>
      </w:r>
      <w:r w:rsidRPr="008A14CC">
        <w:rPr>
          <w:rFonts w:ascii="Palatino Linotype" w:hAnsi="Palatino Linotype"/>
          <w:sz w:val="24"/>
          <w:szCs w:val="24"/>
        </w:rPr>
        <w:t xml:space="preserve"> se le entregara</w:t>
      </w:r>
      <w:r>
        <w:rPr>
          <w:rFonts w:ascii="Palatino Linotype" w:hAnsi="Palatino Linotype"/>
          <w:sz w:val="24"/>
          <w:szCs w:val="24"/>
        </w:rPr>
        <w:t>n</w:t>
      </w:r>
      <w:r w:rsidRPr="008A14CC">
        <w:rPr>
          <w:rFonts w:ascii="Palatino Linotype" w:hAnsi="Palatino Linotype"/>
          <w:sz w:val="24"/>
          <w:szCs w:val="24"/>
        </w:rPr>
        <w:t xml:space="preserve"> vía SAIMEX, no así en copias simples o copias certificadas (con costo).</w:t>
      </w:r>
    </w:p>
    <w:p w:rsidR="00FC06CB" w:rsidRPr="008A14CC" w:rsidRDefault="00FC06CB" w:rsidP="00FC06CB">
      <w:pPr>
        <w:spacing w:before="240" w:after="240" w:line="360" w:lineRule="auto"/>
        <w:ind w:left="360"/>
        <w:contextualSpacing/>
        <w:jc w:val="both"/>
        <w:rPr>
          <w:rFonts w:ascii="Palatino Linotype" w:hAnsi="Palatino Linotype" w:cs="Arial"/>
          <w:bCs/>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sz w:val="24"/>
          <w:szCs w:val="24"/>
        </w:rPr>
        <w:t xml:space="preserve">Del mismo modo, no se debe ignorar que el Archivo General de la Nación, dentro de sus </w:t>
      </w:r>
      <w:r w:rsidRPr="008A14CC">
        <w:rPr>
          <w:rFonts w:ascii="Palatino Linotype" w:hAnsi="Palatino Linotype"/>
          <w:b/>
          <w:i/>
          <w:sz w:val="24"/>
          <w:szCs w:val="24"/>
        </w:rPr>
        <w:t>Recomendaciones para proyectos de digitalización de documentos</w:t>
      </w:r>
      <w:r w:rsidRPr="008A14CC">
        <w:rPr>
          <w:rFonts w:ascii="Palatino Linotype" w:hAnsi="Palatino Linotype"/>
          <w:sz w:val="24"/>
          <w:szCs w:val="24"/>
        </w:rPr>
        <w:t>, concibe al objeto de digitalización de la siguiente manera:</w:t>
      </w:r>
    </w:p>
    <w:p w:rsidR="00FC06CB" w:rsidRPr="008A14CC" w:rsidRDefault="00FC06CB" w:rsidP="00FC06CB">
      <w:pPr>
        <w:spacing w:before="240" w:after="240" w:line="360" w:lineRule="auto"/>
        <w:ind w:left="851" w:right="567"/>
        <w:contextualSpacing/>
        <w:jc w:val="both"/>
        <w:rPr>
          <w:rFonts w:ascii="Palatino Linotype" w:hAnsi="Palatino Linotype"/>
          <w:sz w:val="24"/>
          <w:szCs w:val="24"/>
        </w:rPr>
      </w:pPr>
      <w:r w:rsidRPr="008A14CC">
        <w:rPr>
          <w:rFonts w:ascii="Palatino Linotype" w:hAnsi="Palatino Linotype"/>
          <w:i/>
          <w:sz w:val="24"/>
          <w:szCs w:val="24"/>
        </w:rPr>
        <w:t xml:space="preserve">“El fin de un proyecto como éste </w:t>
      </w:r>
      <w:r w:rsidRPr="008A14CC">
        <w:rPr>
          <w:rFonts w:ascii="Palatino Linotype" w:hAnsi="Palatino Linotype"/>
          <w:sz w:val="24"/>
          <w:szCs w:val="24"/>
        </w:rPr>
        <w:t>(proyecto de digitalización)</w:t>
      </w:r>
      <w:r w:rsidRPr="008A14CC">
        <w:rPr>
          <w:rFonts w:ascii="Palatino Linotype" w:hAnsi="Palatino Linotype"/>
          <w:i/>
          <w:sz w:val="24"/>
          <w:szCs w:val="24"/>
        </w:rPr>
        <w:t xml:space="preserve"> es digitalizar una sola vez los documentos y utilizar el archivo obtenido para diversos </w:t>
      </w:r>
      <w:r w:rsidRPr="008A14CC">
        <w:rPr>
          <w:rFonts w:ascii="Palatino Linotype" w:hAnsi="Palatino Linotype"/>
          <w:i/>
          <w:sz w:val="24"/>
          <w:szCs w:val="24"/>
        </w:rPr>
        <w:lastRenderedPageBreak/>
        <w:t>propósitos; por ello se debe definir desde la planeación una digitalización estandarizada, clasificada y con óptima calidad, para garantizar que cada archivo se pueda utilizar para nuevos requerimientos, sin necesidad de volver a digitalizarlo.”</w:t>
      </w:r>
    </w:p>
    <w:p w:rsidR="00FC06CB" w:rsidRPr="008A14CC" w:rsidRDefault="00FC06CB" w:rsidP="00FC06CB">
      <w:pPr>
        <w:spacing w:before="240" w:after="240" w:line="360" w:lineRule="auto"/>
        <w:ind w:left="360"/>
        <w:contextualSpacing/>
        <w:jc w:val="both"/>
        <w:rPr>
          <w:rFonts w:ascii="Palatino Linotype" w:hAnsi="Palatino Linotype" w:cs="Arial"/>
          <w:bCs/>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sz w:val="24"/>
          <w:szCs w:val="24"/>
        </w:rPr>
        <w:t>De lo anterior se entiende que el digitalizar documentos no se debe entender como una actividad concebida únicamente para dar atención a una solicitud de información, sino como una oportunidad que tienen los Sujetos Obligados para asegurar en un medio digital su información física y poder hacer uso de la misma en oportunidades futuras.</w:t>
      </w:r>
    </w:p>
    <w:p w:rsidR="00FC06CB" w:rsidRPr="008A14CC" w:rsidRDefault="00FC06CB" w:rsidP="00FC06CB">
      <w:pPr>
        <w:spacing w:before="240" w:after="240" w:line="360" w:lineRule="auto"/>
        <w:ind w:left="360"/>
        <w:contextualSpacing/>
        <w:jc w:val="both"/>
        <w:rPr>
          <w:rFonts w:ascii="Palatino Linotype" w:hAnsi="Palatino Linotype" w:cs="Arial"/>
          <w:bCs/>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sz w:val="24"/>
          <w:szCs w:val="24"/>
        </w:rPr>
        <w:t xml:space="preserve">En ese entendido, como Comisionados de éste Órgano Garante, deberíamos ver a la fracción VI del numeral 73 del Código Financiero del Estado de México como un retroceso en la evolución de la transparencia y acceso a la información pública, ello en virtud de que el pretender cobrar a los particulares una cantidad monetaria por digitalizar documentos sólo generará como consecuencia que los Sujetos Obligados disminuyan sus proyectos de digitalización de documentos en aras de esperar a que una solicitud de información solicite datos públicos contenidos en sus acervos físicos y sea hasta ese momento en que se digitalicen previo pago de impuestos, los cuales resultan a todas luces contrarios a los principios de </w:t>
      </w:r>
      <w:r w:rsidRPr="008A14CC">
        <w:rPr>
          <w:rFonts w:ascii="Palatino Linotype" w:hAnsi="Palatino Linotype"/>
          <w:b/>
          <w:sz w:val="24"/>
          <w:szCs w:val="24"/>
        </w:rPr>
        <w:t>máxima publicidad</w:t>
      </w:r>
      <w:r w:rsidRPr="008A14CC">
        <w:rPr>
          <w:rFonts w:ascii="Palatino Linotype" w:hAnsi="Palatino Linotype"/>
          <w:sz w:val="24"/>
          <w:szCs w:val="24"/>
        </w:rPr>
        <w:t xml:space="preserve"> y </w:t>
      </w:r>
      <w:r w:rsidRPr="008A14CC">
        <w:rPr>
          <w:rFonts w:ascii="Palatino Linotype" w:hAnsi="Palatino Linotype"/>
          <w:b/>
          <w:sz w:val="24"/>
          <w:szCs w:val="24"/>
        </w:rPr>
        <w:t>gratuidad.</w:t>
      </w:r>
    </w:p>
    <w:p w:rsidR="00FC06CB" w:rsidRPr="008A14CC" w:rsidRDefault="00FC06CB" w:rsidP="00FC06CB">
      <w:pPr>
        <w:spacing w:before="240" w:after="240" w:line="360" w:lineRule="auto"/>
        <w:ind w:left="360"/>
        <w:contextualSpacing/>
        <w:jc w:val="both"/>
        <w:rPr>
          <w:rFonts w:ascii="Palatino Linotype" w:hAnsi="Palatino Linotype" w:cs="Arial"/>
          <w:bCs/>
          <w:sz w:val="24"/>
          <w:szCs w:val="24"/>
        </w:rPr>
      </w:pPr>
    </w:p>
    <w:p w:rsidR="00FC06CB"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lastRenderedPageBreak/>
        <w:t>Robustece lo anterior las palabras del entonces Comisionado Presidente del Instituto de Transparencia y Acceso a la Información Pública del Estado de México y Municipios, Eugenio Monterrey Chepov, dentro del oficio número BOLETÍN/DCCS/030/2012, de veintiséis (26) de febrero de dos mil doce, dentro del cual, expresó lo siguiente:</w:t>
      </w:r>
    </w:p>
    <w:p w:rsidR="00FC06CB" w:rsidRDefault="00FC06CB" w:rsidP="00FC06CB">
      <w:pPr>
        <w:pStyle w:val="Prrafodelista"/>
        <w:rPr>
          <w:rFonts w:ascii="Palatino Linotype" w:hAnsi="Palatino Linotype" w:cs="Arial"/>
          <w:bCs/>
          <w:sz w:val="24"/>
          <w:szCs w:val="24"/>
        </w:rPr>
      </w:pPr>
    </w:p>
    <w:p w:rsidR="00FC06CB" w:rsidRPr="008A14CC" w:rsidRDefault="00FC06CB" w:rsidP="00FC06CB">
      <w:pPr>
        <w:spacing w:before="240" w:after="240" w:line="360" w:lineRule="auto"/>
        <w:ind w:left="851" w:right="567"/>
        <w:contextualSpacing/>
        <w:jc w:val="both"/>
        <w:rPr>
          <w:rFonts w:ascii="Palatino Linotype" w:hAnsi="Palatino Linotype" w:cs="Arial"/>
          <w:bCs/>
          <w:sz w:val="24"/>
          <w:szCs w:val="24"/>
        </w:rPr>
      </w:pPr>
      <w:r w:rsidRPr="008A14CC">
        <w:rPr>
          <w:rFonts w:ascii="Palatino Linotype" w:hAnsi="Palatino Linotype" w:cs="Arial"/>
          <w:bCs/>
          <w:i/>
          <w:sz w:val="24"/>
          <w:szCs w:val="24"/>
        </w:rPr>
        <w:t xml:space="preserve">“Es preciso enfatizar que el acceso a la información no tiene costo alguno, pues se trata de un derecho regido por la gratuidad, dada su importancia para los regímenes democráticos. El Código Financiero fija tarifas según la modalidad de entrega de los documentos generados o custodiados por las instituciones, lo cual indica que </w:t>
      </w:r>
      <w:r w:rsidRPr="008A14CC">
        <w:rPr>
          <w:rFonts w:ascii="Palatino Linotype" w:hAnsi="Palatino Linotype" w:cs="Arial"/>
          <w:b/>
          <w:bCs/>
          <w:i/>
          <w:sz w:val="24"/>
          <w:szCs w:val="24"/>
        </w:rPr>
        <w:t>no se cobra por la información, sino por el soporte que la contiene</w:t>
      </w:r>
      <w:r w:rsidRPr="008A14CC">
        <w:rPr>
          <w:rFonts w:ascii="Palatino Linotype" w:hAnsi="Palatino Linotype" w:cs="Arial"/>
          <w:bCs/>
          <w:i/>
          <w:sz w:val="24"/>
          <w:szCs w:val="24"/>
        </w:rPr>
        <w:t>”</w:t>
      </w:r>
      <w:r w:rsidRPr="008A14CC">
        <w:rPr>
          <w:rFonts w:ascii="Palatino Linotype" w:hAnsi="Palatino Linotype" w:cs="Arial"/>
          <w:bCs/>
          <w:sz w:val="24"/>
          <w:szCs w:val="24"/>
        </w:rPr>
        <w:t xml:space="preserve"> (Sic).</w:t>
      </w:r>
    </w:p>
    <w:p w:rsidR="00FC06CB" w:rsidRPr="008A14CC" w:rsidRDefault="00FC06CB" w:rsidP="00FC06CB">
      <w:pPr>
        <w:spacing w:before="240" w:after="240" w:line="360" w:lineRule="auto"/>
        <w:ind w:left="851" w:right="567"/>
        <w:contextualSpacing/>
        <w:jc w:val="both"/>
        <w:rPr>
          <w:rFonts w:ascii="Palatino Linotype" w:hAnsi="Palatino Linotype" w:cs="Arial"/>
          <w:bCs/>
          <w:sz w:val="24"/>
          <w:szCs w:val="24"/>
        </w:rPr>
      </w:pPr>
      <w:r w:rsidRPr="008A14CC">
        <w:rPr>
          <w:rFonts w:ascii="Palatino Linotype" w:hAnsi="Palatino Linotype" w:cs="Arial"/>
          <w:bCs/>
          <w:sz w:val="24"/>
          <w:szCs w:val="24"/>
        </w:rPr>
        <w:t>(Énfasis añadido)</w:t>
      </w:r>
    </w:p>
    <w:p w:rsidR="00FC06CB" w:rsidRPr="008A14CC" w:rsidRDefault="00FC06CB" w:rsidP="00FC06CB">
      <w:pPr>
        <w:spacing w:before="240" w:after="240" w:line="360" w:lineRule="auto"/>
        <w:ind w:left="360"/>
        <w:contextualSpacing/>
        <w:jc w:val="both"/>
        <w:rPr>
          <w:rFonts w:ascii="Palatino Linotype" w:hAnsi="Palatino Linotype" w:cs="Arial"/>
          <w:bCs/>
          <w:sz w:val="24"/>
          <w:szCs w:val="24"/>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 xml:space="preserve">Así las cosas, debo recalcar que mi Ponencia no busca procurar la gratuidad del acceso a la información como justificante para que los particulares hagan uso indiferente del material administrativo de los Sujetos Obligados, entendiéndose con esto papel, sellos, discos compactos, etcétera. Sino que, la entrega de la información a través del Sistema de Acceso a la Información, debe entenderse siempre como un medio gratuito por medio del cual la ciudadanía pueda acceder a la información de las autoridades administrativas al ser el medio idóneo por el </w:t>
      </w:r>
      <w:r w:rsidRPr="008A14CC">
        <w:rPr>
          <w:rFonts w:ascii="Palatino Linotype" w:hAnsi="Palatino Linotype" w:cs="Arial"/>
          <w:bCs/>
          <w:sz w:val="24"/>
          <w:szCs w:val="24"/>
        </w:rPr>
        <w:lastRenderedPageBreak/>
        <w:t>cual no se eroga ningún gasto más que el uso de electricidad por parte de los Sujetos Obligados.</w:t>
      </w:r>
    </w:p>
    <w:p w:rsidR="00FC06CB" w:rsidRPr="008A14CC" w:rsidRDefault="00FC06CB" w:rsidP="00FC06CB">
      <w:pPr>
        <w:spacing w:before="240" w:after="240" w:line="360" w:lineRule="auto"/>
        <w:jc w:val="both"/>
        <w:rPr>
          <w:rFonts w:ascii="Palatino Linotype" w:hAnsi="Palatino Linotype" w:cs="Arial"/>
          <w:bCs/>
          <w:sz w:val="24"/>
          <w:szCs w:val="24"/>
        </w:rPr>
      </w:pPr>
    </w:p>
    <w:p w:rsidR="00FC06CB"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 xml:space="preserve">Luego entonces, es de señalar que la </w:t>
      </w:r>
      <w:r w:rsidRPr="008A14CC">
        <w:rPr>
          <w:rFonts w:ascii="Palatino Linotype" w:hAnsi="Palatino Linotype" w:cs="Arial"/>
          <w:b/>
          <w:bCs/>
          <w:sz w:val="24"/>
          <w:szCs w:val="24"/>
        </w:rPr>
        <w:t xml:space="preserve">Universidad Politécnica del Valle de Toluca </w:t>
      </w:r>
      <w:r w:rsidRPr="008A14CC">
        <w:rPr>
          <w:rFonts w:ascii="Palatino Linotype" w:hAnsi="Palatino Linotype" w:cs="Arial"/>
          <w:bCs/>
          <w:sz w:val="24"/>
          <w:szCs w:val="24"/>
        </w:rPr>
        <w:t>es un Organismo Público Descentralizado de carácter Estatal, al que se le asigna un presupuesto destinado a satisfacer las necesidades de los mexiquenses, mediante la planeación y programación coordinada con las dependencias gubernamentales, federales, estatales y municipales; y que bajo ésas consideraciones, no debería tener impedimento tecnológico o administrativo para otorgar la información digitalizada.</w:t>
      </w:r>
    </w:p>
    <w:p w:rsidR="00FC06CB" w:rsidRDefault="00FC06CB" w:rsidP="00FC06CB">
      <w:pPr>
        <w:keepNext/>
        <w:keepLines/>
        <w:spacing w:before="240" w:after="0"/>
        <w:outlineLvl w:val="0"/>
        <w:rPr>
          <w:rFonts w:ascii="Palatino Linotype" w:eastAsiaTheme="majorEastAsia" w:hAnsi="Palatino Linotype" w:cs="Arial"/>
          <w:b/>
          <w:bCs/>
          <w:sz w:val="24"/>
          <w:szCs w:val="24"/>
        </w:rPr>
      </w:pPr>
      <w:bookmarkStart w:id="6" w:name="_Toc516449145"/>
    </w:p>
    <w:p w:rsidR="00FC06CB" w:rsidRDefault="00FC06CB" w:rsidP="00FC06CB">
      <w:pPr>
        <w:keepNext/>
        <w:keepLines/>
        <w:spacing w:before="240" w:after="0"/>
        <w:outlineLvl w:val="0"/>
        <w:rPr>
          <w:rFonts w:ascii="Palatino Linotype" w:eastAsiaTheme="majorEastAsia" w:hAnsi="Palatino Linotype" w:cs="Arial"/>
          <w:b/>
          <w:bCs/>
          <w:i/>
          <w:sz w:val="24"/>
          <w:szCs w:val="24"/>
        </w:rPr>
      </w:pPr>
      <w:r w:rsidRPr="008A14CC">
        <w:rPr>
          <w:rFonts w:ascii="Palatino Linotype" w:eastAsiaTheme="majorEastAsia" w:hAnsi="Palatino Linotype" w:cs="Arial"/>
          <w:b/>
          <w:bCs/>
          <w:sz w:val="24"/>
          <w:szCs w:val="24"/>
        </w:rPr>
        <w:t xml:space="preserve">V. Del principio </w:t>
      </w:r>
      <w:r w:rsidRPr="008A14CC">
        <w:rPr>
          <w:rFonts w:ascii="Palatino Linotype" w:eastAsiaTheme="majorEastAsia" w:hAnsi="Palatino Linotype" w:cs="Arial"/>
          <w:b/>
          <w:bCs/>
          <w:i/>
          <w:sz w:val="24"/>
          <w:szCs w:val="24"/>
        </w:rPr>
        <w:t>pro persona.</w:t>
      </w:r>
      <w:bookmarkEnd w:id="6"/>
    </w:p>
    <w:p w:rsidR="00FC06CB" w:rsidRPr="008A14CC" w:rsidRDefault="00FC06CB" w:rsidP="00FC06CB">
      <w:pPr>
        <w:keepNext/>
        <w:keepLines/>
        <w:spacing w:before="240" w:after="0"/>
        <w:outlineLvl w:val="0"/>
        <w:rPr>
          <w:rFonts w:ascii="Palatino Linotype" w:eastAsiaTheme="majorEastAsia" w:hAnsi="Palatino Linotype" w:cstheme="majorBidi"/>
          <w:b/>
          <w:color w:val="000000" w:themeColor="text1"/>
          <w:sz w:val="24"/>
          <w:szCs w:val="32"/>
        </w:rPr>
      </w:pPr>
    </w:p>
    <w:p w:rsidR="00FC06CB" w:rsidRPr="008A14CC" w:rsidRDefault="00FC06CB" w:rsidP="00FC06CB">
      <w:pPr>
        <w:numPr>
          <w:ilvl w:val="0"/>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Una vez precisado lo anterior, hay que precisar que de conformidad con el texto vigente del artículo 1º, párrafos primero, segundo y tercero, de la Constitución Política de los Estados Unidos Mexicanos, existen dos fuentes originarias de los derechos humanos:</w:t>
      </w:r>
    </w:p>
    <w:p w:rsidR="00FC06CB" w:rsidRPr="008A14CC" w:rsidRDefault="00FC06CB" w:rsidP="00FC06CB">
      <w:pPr>
        <w:numPr>
          <w:ilvl w:val="1"/>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Los derechos humanos reconocidos expresamente en la Constitución.</w:t>
      </w:r>
    </w:p>
    <w:p w:rsidR="00FC06CB" w:rsidRPr="008A14CC" w:rsidRDefault="00FC06CB" w:rsidP="00FC06CB">
      <w:pPr>
        <w:numPr>
          <w:ilvl w:val="1"/>
          <w:numId w:val="1"/>
        </w:numPr>
        <w:spacing w:before="240" w:after="240" w:line="360" w:lineRule="auto"/>
        <w:contextualSpacing/>
        <w:jc w:val="both"/>
        <w:rPr>
          <w:rFonts w:ascii="Palatino Linotype" w:hAnsi="Palatino Linotype" w:cs="Arial"/>
          <w:bCs/>
          <w:sz w:val="24"/>
          <w:szCs w:val="24"/>
        </w:rPr>
      </w:pPr>
      <w:r w:rsidRPr="008A14CC">
        <w:rPr>
          <w:rFonts w:ascii="Palatino Linotype" w:hAnsi="Palatino Linotype" w:cs="Arial"/>
          <w:bCs/>
          <w:sz w:val="24"/>
          <w:szCs w:val="24"/>
        </w:rPr>
        <w:t>Los derechos humanos establecidos en los tratados internacionales firmados y ratificados por México.</w:t>
      </w: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b/>
          <w:i/>
        </w:rPr>
        <w:t>“Artículo 1o.</w:t>
      </w:r>
      <w:r w:rsidRPr="008A14CC">
        <w:rPr>
          <w:rFonts w:ascii="Palatino Linotype" w:hAnsi="Palatino Linotype"/>
          <w:i/>
        </w:rPr>
        <w:t xml:space="preserve"> En los Estados Unidos Mexicanos </w:t>
      </w:r>
      <w:r w:rsidRPr="008A14CC">
        <w:rPr>
          <w:rFonts w:ascii="Palatino Linotype" w:hAnsi="Palatino Linotype"/>
          <w:i/>
          <w:u w:val="single"/>
        </w:rPr>
        <w:t xml:space="preserve">todas las personas gozarán de los derechos humanos reconocidos en esta Constitución y en los tratados internacionales </w:t>
      </w:r>
      <w:r w:rsidRPr="008A14CC">
        <w:rPr>
          <w:rFonts w:ascii="Palatino Linotype" w:hAnsi="Palatino Linotype"/>
          <w:i/>
          <w:u w:val="single"/>
        </w:rPr>
        <w:lastRenderedPageBreak/>
        <w:t>de los que el Estado Mexicano sea parte</w:t>
      </w:r>
      <w:r w:rsidRPr="008A14CC">
        <w:rPr>
          <w:rFonts w:ascii="Palatino Linotype" w:hAnsi="Palatino Linotype"/>
          <w:i/>
        </w:rPr>
        <w:t>, así como de las garantías para su protección, cuyo ejercicio no podrá restringirse ni suspenderse, salvo en los casos y bajo las condiciones que esta Constitución establece.</w:t>
      </w:r>
    </w:p>
    <w:p w:rsidR="00FC06CB" w:rsidRPr="008A14CC" w:rsidRDefault="00FC06CB" w:rsidP="00FC06CB">
      <w:pPr>
        <w:spacing w:after="0" w:line="240" w:lineRule="auto"/>
        <w:ind w:left="851" w:right="567"/>
        <w:jc w:val="both"/>
        <w:rPr>
          <w:rFonts w:ascii="Palatino Linotype" w:hAnsi="Palatino Linotype"/>
          <w:i/>
        </w:rPr>
      </w:pPr>
    </w:p>
    <w:p w:rsidR="00FC06CB" w:rsidRPr="008A14CC" w:rsidRDefault="00FC06CB" w:rsidP="00FC06CB">
      <w:pPr>
        <w:spacing w:after="0" w:line="240" w:lineRule="auto"/>
        <w:ind w:left="851" w:right="567"/>
        <w:jc w:val="both"/>
        <w:rPr>
          <w:rFonts w:ascii="Palatino Linotype" w:hAnsi="Palatino Linotype"/>
          <w:b/>
          <w:i/>
        </w:rPr>
      </w:pPr>
      <w:r w:rsidRPr="008A14CC">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rsidR="00FC06CB" w:rsidRPr="008A14CC" w:rsidRDefault="00FC06CB" w:rsidP="00FC06CB">
      <w:pPr>
        <w:spacing w:after="0" w:line="240" w:lineRule="auto"/>
        <w:ind w:left="851" w:right="567"/>
        <w:jc w:val="both"/>
        <w:rPr>
          <w:rFonts w:ascii="Palatino Linotype" w:hAnsi="Palatino Linotype"/>
          <w:i/>
        </w:rPr>
      </w:pP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14CC">
        <w:rPr>
          <w:rFonts w:ascii="Palatino Linotype" w:hAnsi="Palatino Linotype"/>
          <w:i/>
        </w:rPr>
        <w:t xml:space="preserve"> En consecuencia, el Estado deberá prevenir, investigar, sancionar y reparar las violaciones a los derechos humanos, en los términos que establezca la ley. </w:t>
      </w: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i/>
        </w:rPr>
        <w:t>(…)”</w:t>
      </w:r>
    </w:p>
    <w:p w:rsidR="00FC06CB" w:rsidRPr="008A14CC" w:rsidRDefault="00FC06CB" w:rsidP="00FC06CB">
      <w:pPr>
        <w:ind w:left="720"/>
        <w:contextualSpacing/>
        <w:rPr>
          <w:rFonts w:ascii="Palatino Linotype" w:hAnsi="Palatino Linotype" w:cs="Arial"/>
          <w:bCs/>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8"/>
          <w:szCs w:val="24"/>
        </w:rPr>
      </w:pPr>
      <w:r w:rsidRPr="008A14CC">
        <w:rPr>
          <w:rFonts w:ascii="Palatino Linotype" w:hAnsi="Palatino Linotype" w:cs="Arial"/>
          <w:sz w:val="24"/>
        </w:rPr>
        <w:t xml:space="preserve">La reforma al artículo 1° de la </w:t>
      </w:r>
      <w:r w:rsidRPr="008A14CC">
        <w:rPr>
          <w:rFonts w:ascii="Palatino Linotype" w:hAnsi="Palatino Linotype" w:cs="Arial"/>
          <w:b/>
          <w:sz w:val="24"/>
        </w:rPr>
        <w:t>Constitución Política de los Estados Unidos Mexicanos</w:t>
      </w:r>
      <w:r w:rsidRPr="008A14CC">
        <w:rPr>
          <w:rFonts w:ascii="Palatino Linotype" w:hAnsi="Palatino Linotype" w:cs="Arial"/>
          <w:sz w:val="24"/>
        </w:rPr>
        <w:t>, publicada en el Diario Oficial de la Federación el diez de junio de dos mil once, faculta a todas las autoridades en nuestro país, sin excepción, para proteger y garantizar los Derechos Humanos desde sus respectivos ámbitos competenciales.</w:t>
      </w:r>
    </w:p>
    <w:p w:rsidR="00FC06CB" w:rsidRPr="008A14CC" w:rsidRDefault="00FC06CB" w:rsidP="00FC06CB">
      <w:pPr>
        <w:spacing w:after="0" w:line="360" w:lineRule="auto"/>
        <w:ind w:left="360"/>
        <w:contextualSpacing/>
        <w:jc w:val="both"/>
        <w:rPr>
          <w:rFonts w:ascii="Palatino Linotype" w:hAnsi="Palatino Linotype"/>
          <w:sz w:val="28"/>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8"/>
          <w:szCs w:val="24"/>
        </w:rPr>
      </w:pPr>
      <w:r w:rsidRPr="008A14CC">
        <w:rPr>
          <w:rFonts w:ascii="Palatino Linotype" w:hAnsi="Palatino Linotype" w:cs="Arial"/>
          <w:sz w:val="24"/>
        </w:rPr>
        <w:t>Esta reforma,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rsidR="00FC06CB" w:rsidRPr="008A14CC" w:rsidRDefault="00FC06CB" w:rsidP="00FC06CB">
      <w:pPr>
        <w:spacing w:after="0" w:line="360" w:lineRule="auto"/>
        <w:contextualSpacing/>
        <w:jc w:val="both"/>
        <w:rPr>
          <w:rFonts w:ascii="Palatino Linotype" w:hAnsi="Palatino Linotype"/>
          <w:sz w:val="28"/>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8"/>
          <w:szCs w:val="24"/>
        </w:rPr>
      </w:pPr>
      <w:r w:rsidRPr="008A14CC">
        <w:rPr>
          <w:rFonts w:ascii="Palatino Linotype" w:hAnsi="Palatino Linotype" w:cs="Arial"/>
          <w:sz w:val="24"/>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Sirve de criterio orientador la Tesis Aislada I.4o.A.20 K (10a.), publicada en la Gaceta del Semanario Judicial de la Federación Libro 1, diciembre de 2013, Tomo II, página: 1211, cuyo rubro, texto y datos de identificación son los siguientes:</w:t>
      </w: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b/>
          <w:i/>
        </w:rPr>
        <w:t>PRINCIPIO PRO HOMINE. VARIANTES QUE LO COMPONEN.</w:t>
      </w:r>
      <w:r w:rsidRPr="008A14CC">
        <w:rPr>
          <w:rFonts w:ascii="Palatino Linotype" w:hAnsi="Palatino Linotype"/>
          <w:i/>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homine", el cual consiste en ponderar el peso de los derechos humanos, a efecto de estar siempre a favor del hombre,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homine" tiene dos variantes: a) Directriz de preferencia interpretativa, por la cual se ha de buscar la interpretación que optimice más un derecho constitucional. Esta variante, a su vez, se compone de: a.1.) Principio favor libertatis,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debilis; referente </w:t>
      </w:r>
      <w:r w:rsidRPr="008A14CC">
        <w:rPr>
          <w:rFonts w:ascii="Palatino Linotype" w:hAnsi="Palatino Linotype"/>
          <w:i/>
        </w:rPr>
        <w:lastRenderedPageBreak/>
        <w:t>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rsidR="00FC06CB" w:rsidRPr="008A14CC" w:rsidRDefault="00FC06CB" w:rsidP="00FC06CB">
      <w:pPr>
        <w:spacing w:after="0" w:line="240" w:lineRule="auto"/>
        <w:ind w:left="851" w:right="567"/>
        <w:jc w:val="both"/>
        <w:rPr>
          <w:rFonts w:ascii="Palatino Linotype" w:hAnsi="Palatino Linotype"/>
          <w:i/>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 xml:space="preserve">Entonces, se puede afirmar que el principio pro persona tiene dos variantes: </w:t>
      </w:r>
    </w:p>
    <w:p w:rsidR="00FC06CB" w:rsidRPr="008A14CC" w:rsidRDefault="00FC06CB" w:rsidP="00FC06CB">
      <w:pPr>
        <w:numPr>
          <w:ilvl w:val="1"/>
          <w:numId w:val="1"/>
        </w:numPr>
        <w:spacing w:after="0" w:line="360" w:lineRule="auto"/>
        <w:ind w:right="49"/>
        <w:contextualSpacing/>
        <w:jc w:val="both"/>
        <w:rPr>
          <w:rFonts w:ascii="Palatino Linotype" w:hAnsi="Palatino Linotype"/>
          <w:sz w:val="24"/>
          <w:szCs w:val="24"/>
        </w:rPr>
      </w:pPr>
      <w:r w:rsidRPr="008A14CC">
        <w:rPr>
          <w:rFonts w:ascii="Palatino Linotype" w:hAnsi="Palatino Linotype"/>
          <w:b/>
          <w:sz w:val="24"/>
          <w:szCs w:val="24"/>
        </w:rPr>
        <w:t>Preferencia interpretativa.</w:t>
      </w:r>
      <w:r w:rsidRPr="008A14CC">
        <w:rPr>
          <w:rFonts w:ascii="Palatino Linotype" w:hAnsi="Palatino Linotype"/>
          <w:sz w:val="24"/>
          <w:szCs w:val="24"/>
        </w:rPr>
        <w:t xml:space="preserve"> El intérprete debe preferir, de las interpretaciones válidas que estén disponibles para resolver un caso concreto, la que más optimice un derecho fundamental, es decir, cuando amplía el ámbito de los sujetos protegidos por el Derecho.</w:t>
      </w:r>
    </w:p>
    <w:p w:rsidR="00FC06CB" w:rsidRPr="008A14CC" w:rsidRDefault="00FC06CB" w:rsidP="00FC06CB">
      <w:pPr>
        <w:numPr>
          <w:ilvl w:val="1"/>
          <w:numId w:val="1"/>
        </w:numPr>
        <w:spacing w:after="0" w:line="360" w:lineRule="auto"/>
        <w:contextualSpacing/>
        <w:jc w:val="both"/>
        <w:rPr>
          <w:rFonts w:ascii="Palatino Linotype" w:hAnsi="Palatino Linotype"/>
          <w:sz w:val="24"/>
          <w:szCs w:val="24"/>
        </w:rPr>
      </w:pPr>
      <w:r w:rsidRPr="008A14CC">
        <w:rPr>
          <w:rFonts w:ascii="Palatino Linotype" w:hAnsi="Palatino Linotype"/>
          <w:b/>
          <w:sz w:val="24"/>
          <w:szCs w:val="24"/>
        </w:rPr>
        <w:t>Preferencia de normas.</w:t>
      </w:r>
      <w:r w:rsidRPr="008A14CC">
        <w:rPr>
          <w:rFonts w:ascii="Palatino Linotype" w:hAnsi="Palatino Linotype"/>
          <w:sz w:val="24"/>
          <w:szCs w:val="24"/>
        </w:rPr>
        <w:t xml:space="preserve"> El intérprete, si puede aplicar más de una norma al caso concreto, deberá preferir aquella que sea más favorable a la persona, con independencia del lugar que ocupe dentro de la jerarquía normativa.</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8"/>
          <w:szCs w:val="24"/>
        </w:rPr>
      </w:pPr>
      <w:r w:rsidRPr="008A14CC">
        <w:rPr>
          <w:rFonts w:ascii="Palatino Linotype" w:hAnsi="Palatino Linotype" w:cs="Arial"/>
          <w:sz w:val="24"/>
        </w:rPr>
        <w:t xml:space="preserve">Así, el principio </w:t>
      </w:r>
      <w:r w:rsidRPr="008A14CC">
        <w:rPr>
          <w:rFonts w:ascii="Palatino Linotype" w:hAnsi="Palatino Linotype" w:cs="Arial"/>
          <w:i/>
          <w:sz w:val="24"/>
        </w:rPr>
        <w:t>pro persona,,</w:t>
      </w:r>
      <w:r w:rsidRPr="008A14CC">
        <w:rPr>
          <w:rFonts w:ascii="Palatino Linotype" w:hAnsi="Palatino Linotype" w:cs="Arial"/>
          <w:sz w:val="24"/>
        </w:rPr>
        <w:t xml:space="preserve"> coincide con la esencia de los derechos humanos, por virtud del cual debe estarse siempre a lo más favorable para el hombre e implica que debe acudirse a la norma más amplia o a la interpretación extensiva cuando se trata de derechos protegidos y, por el contrario, a la norma o a la interpretación más restringida, cuando se trata de establecer límites a su ejercicio.</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8"/>
          <w:szCs w:val="24"/>
        </w:rPr>
      </w:pPr>
      <w:r w:rsidRPr="008A14CC">
        <w:rPr>
          <w:rFonts w:ascii="Palatino Linotype" w:hAnsi="Palatino Linotype" w:cs="Arial"/>
          <w:sz w:val="24"/>
        </w:rPr>
        <w:t xml:space="preserve">Lo anterior, coincide con los criterios jurisprudenciales dictados por los órganos que integran el Poder Judicial de la Federación en las tesis aisladas: I.4o.A.441 A </w:t>
      </w:r>
      <w:r w:rsidRPr="008A14CC">
        <w:rPr>
          <w:rFonts w:ascii="Palatino Linotype" w:hAnsi="Palatino Linotype" w:cs="Arial"/>
          <w:sz w:val="24"/>
        </w:rPr>
        <w:lastRenderedPageBreak/>
        <w:t>y I.4o.A.464 A, publicadas en el Semanario Judicial de la Federación y su Gaceta, Tomo XX, Octubre de 2004 y Tomo XXI, Febrero de 2005 respectivamente:</w:t>
      </w: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b/>
          <w:i/>
        </w:rPr>
        <w:t>PRINCIPIO PRO HOMINE. SU APLICACIÓN</w:t>
      </w:r>
      <w:r w:rsidRPr="008A14CC">
        <w:rPr>
          <w:rFonts w:ascii="Palatino Linotype" w:hAnsi="Palatino Linotype"/>
          <w:i/>
        </w:rPr>
        <w:t>. “El principio pro homine,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p>
    <w:p w:rsidR="00FC06CB" w:rsidRPr="008A14CC" w:rsidRDefault="00FC06CB" w:rsidP="00FC06CB">
      <w:pPr>
        <w:spacing w:after="0" w:line="240" w:lineRule="auto"/>
        <w:ind w:left="851" w:right="567"/>
        <w:jc w:val="both"/>
        <w:rPr>
          <w:rFonts w:ascii="Palatino Linotype" w:hAnsi="Palatino Linotype"/>
          <w:i/>
        </w:rPr>
      </w:pPr>
    </w:p>
    <w:p w:rsidR="00FC06CB" w:rsidRPr="008A14CC" w:rsidRDefault="00FC06CB" w:rsidP="00FC06CB">
      <w:pPr>
        <w:spacing w:after="0" w:line="240" w:lineRule="auto"/>
        <w:ind w:left="851" w:right="567"/>
        <w:jc w:val="both"/>
      </w:pPr>
      <w:r w:rsidRPr="008A14CC">
        <w:rPr>
          <w:rFonts w:ascii="Palatino Linotype" w:hAnsi="Palatino Linotype"/>
          <w:b/>
          <w:i/>
        </w:rPr>
        <w:t>PRINCIPIO PRO HOMINE. SU APLICACIÓN ES OBLIGATORIA.</w:t>
      </w:r>
      <w:r w:rsidRPr="008A14CC">
        <w:rPr>
          <w:rFonts w:ascii="Palatino Linotype" w:hAnsi="Palatino Linotype"/>
          <w:i/>
        </w:rPr>
        <w:t xml:space="preserve"> “El principio pro homine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 xml:space="preserve">De lo expuesto se colige que cualquier órgano judicial, jurisdiccional o administrativo del Estado mexicano con facultades decisorias o de </w:t>
      </w:r>
      <w:r w:rsidRPr="008A14CC">
        <w:rPr>
          <w:rFonts w:ascii="Palatino Linotype" w:hAnsi="Palatino Linotype"/>
          <w:i/>
          <w:sz w:val="24"/>
          <w:szCs w:val="24"/>
        </w:rPr>
        <w:t>imperium</w:t>
      </w:r>
      <w:r w:rsidRPr="008A14CC">
        <w:rPr>
          <w:rFonts w:ascii="Palatino Linotype" w:hAnsi="Palatino Linotype"/>
          <w:sz w:val="24"/>
          <w:szCs w:val="24"/>
        </w:rPr>
        <w:t xml:space="preserve"> debe respetar el principio pro persona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w:t>
      </w:r>
      <w:r w:rsidRPr="008A14CC">
        <w:rPr>
          <w:rFonts w:ascii="Palatino Linotype" w:hAnsi="Palatino Linotype"/>
          <w:sz w:val="24"/>
          <w:szCs w:val="24"/>
        </w:rPr>
        <w:lastRenderedPageBreak/>
        <w:t>Mexicanos, los tratados o convenciones internacionales cuando se traten temas que vinculen derechos humanos protegidos por esas disposiciones.</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Ahora, 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Por tanto, de acuerdo con lo expuesto, este Órgano Garante con funciones jurisdiccionales,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Lo anterior implica que el Pleno como cuerpo resolutor debe acatar y aplicar en su ámbito competencial, la constitución y los tratados internacionales vinculados con los derechos humanos que tiene la obligación de salvaguardar y restituir.</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Sirve de sustento a lo anterior, el criterio jurisprudencial P. LXVII/2011(9a.), publicado en el Semanario Judicial de la Federación y su Gaceta, Libro III, diciembre de 2011, Tomo 1, que a la letra refiere lo siguiente:</w:t>
      </w: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b/>
          <w:i/>
        </w:rPr>
        <w:t>CONTROL DE CONVENCIONALIDAD EX OFFICIO EN UN MODELO DE CONTROL DIFUSO DE CONSTITUCIONALIDAD.</w:t>
      </w:r>
      <w:r w:rsidRPr="008A14CC">
        <w:rPr>
          <w:rFonts w:ascii="Palatino Linotype" w:hAnsi="Palatino Linotype"/>
          <w:i/>
        </w:rPr>
        <w:t xml:space="preserve"> “De conformidad con lo previsto en el artículo 1o. de la Constitución Política de los Estados Unidos Mexicanos, </w:t>
      </w:r>
      <w:r w:rsidRPr="008A14CC">
        <w:rPr>
          <w:rFonts w:ascii="Palatino Linotype" w:hAnsi="Palatino Linotype"/>
          <w:i/>
          <w:u w:val="single"/>
        </w:rPr>
        <w:t>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pro persona.</w:t>
      </w:r>
      <w:r w:rsidRPr="008A14CC">
        <w:rPr>
          <w:rFonts w:ascii="Palatino Linotype" w:hAnsi="Palatino Linotype"/>
          <w:i/>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officio en materia de derechos humanos a cargo del Poder Judicial, el que deberá adecuarse al modelo de control de constitucionalidad existente en nuestro país. </w:t>
      </w:r>
      <w:r w:rsidRPr="008A14CC">
        <w:rPr>
          <w:rFonts w:ascii="Palatino Linotype" w:hAnsi="Palatino Linotype"/>
          <w:i/>
          <w:u w:val="single"/>
        </w:rPr>
        <w:t xml:space="preserve">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 </w:t>
      </w:r>
      <w:r w:rsidRPr="008A14CC">
        <w:rPr>
          <w:rFonts w:ascii="Palatino Linotype" w:hAnsi="Palatino Linotype"/>
          <w:i/>
        </w:rPr>
        <w:t xml:space="preserve">Si bien los jueces </w:t>
      </w:r>
      <w:r w:rsidRPr="008A14CC">
        <w:rPr>
          <w:rFonts w:ascii="Palatino Linotype" w:hAnsi="Palatino Linotype"/>
          <w:i/>
          <w:u w:val="single"/>
        </w:rPr>
        <w:t>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r w:rsidRPr="008A14CC">
        <w:rPr>
          <w:rFonts w:ascii="Palatino Linotype" w:hAnsi="Palatino Linotype"/>
          <w:i/>
        </w:rPr>
        <w:t>”</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 xml:space="preserve">Precisado lo anterior, y con relación a uno de los derechos fundamentales que tiene la obligación de proteger este Instituto, el artículo 6 de la carta fundamental </w:t>
      </w:r>
      <w:r w:rsidRPr="008A14CC">
        <w:rPr>
          <w:rFonts w:ascii="Palatino Linotype" w:hAnsi="Palatino Linotype"/>
          <w:sz w:val="24"/>
          <w:szCs w:val="24"/>
        </w:rPr>
        <w:lastRenderedPageBreak/>
        <w:t>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entes públicos.</w:t>
      </w:r>
    </w:p>
    <w:p w:rsidR="00FC06CB" w:rsidRPr="008A14CC" w:rsidRDefault="00FC06CB" w:rsidP="00FC06CB">
      <w:pPr>
        <w:spacing w:after="0" w:line="360" w:lineRule="auto"/>
        <w:ind w:left="360"/>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En el plano internacional, particularmente en el tema en análisis, existen tres tratados internacionales suscritos y ratificados por México en el que se reconoce el derecho a buscar, recibir y difundir información. A estos tratados nos referiremos en los siguientes párrafos, sin embargo, para sustentar su aplicabilidad en el sistema jurídico mexicano se detallan por su denominación, fecha de aprobación, ratificación y publicación en el Diario Oficial de la Federación:</w:t>
      </w:r>
    </w:p>
    <w:p w:rsidR="00FC06CB" w:rsidRPr="008A14CC" w:rsidRDefault="00FC06CB" w:rsidP="00FC06CB">
      <w:pPr>
        <w:numPr>
          <w:ilvl w:val="1"/>
          <w:numId w:val="1"/>
        </w:numPr>
        <w:spacing w:after="0" w:line="360" w:lineRule="auto"/>
        <w:contextualSpacing/>
        <w:jc w:val="both"/>
        <w:rPr>
          <w:rFonts w:ascii="Palatino Linotype" w:hAnsi="Palatino Linotype"/>
          <w:sz w:val="24"/>
          <w:szCs w:val="24"/>
        </w:rPr>
      </w:pPr>
      <w:r w:rsidRPr="008A14CC">
        <w:rPr>
          <w:rFonts w:ascii="Palatino Linotype" w:hAnsi="Palatino Linotype"/>
          <w:b/>
          <w:sz w:val="24"/>
          <w:szCs w:val="24"/>
        </w:rPr>
        <w:t>DECLARACIÓN UNIVERSAL DE DERECHOS HUMANOS.</w:t>
      </w:r>
      <w:r w:rsidRPr="008A14CC">
        <w:rPr>
          <w:rFonts w:ascii="Palatino Linotype" w:hAnsi="Palatino Linotype"/>
          <w:sz w:val="24"/>
          <w:szCs w:val="24"/>
        </w:rPr>
        <w:t xml:space="preserve"> Adoptada y proclamada por la Asamblea General de la Organización de Naciones Unidad en su resolución 217 A (III), del diez de diciembre de mil novecientos cuarenta y ocho.</w:t>
      </w:r>
    </w:p>
    <w:p w:rsidR="00FC06CB" w:rsidRPr="008A14CC" w:rsidRDefault="00FC06CB" w:rsidP="00FC06CB">
      <w:pPr>
        <w:numPr>
          <w:ilvl w:val="1"/>
          <w:numId w:val="1"/>
        </w:numPr>
        <w:spacing w:after="0" w:line="360" w:lineRule="auto"/>
        <w:contextualSpacing/>
        <w:jc w:val="both"/>
        <w:rPr>
          <w:rFonts w:ascii="Palatino Linotype" w:hAnsi="Palatino Linotype"/>
          <w:sz w:val="24"/>
          <w:szCs w:val="24"/>
        </w:rPr>
      </w:pPr>
      <w:r w:rsidRPr="008A14CC">
        <w:rPr>
          <w:rFonts w:ascii="Palatino Linotype" w:hAnsi="Palatino Linotype"/>
          <w:b/>
          <w:sz w:val="24"/>
          <w:szCs w:val="24"/>
        </w:rPr>
        <w:t>PACTO INTERNACIONAL DE DERECHOS CIVILES Y POLÍTICOS.</w:t>
      </w:r>
      <w:r w:rsidRPr="008A14CC">
        <w:rPr>
          <w:rFonts w:ascii="Palatino Linotype" w:hAnsi="Palatino Linotype"/>
          <w:sz w:val="24"/>
          <w:szCs w:val="24"/>
        </w:rPr>
        <w:t xml:space="preserve"> publicado en el Diario Oficial de la Federación el veinte de mayo de mil novecientos ochenta y uno. El diecinueve de diciembre de mil novecientos sesenta y seis se abrió a firma en la ciudad de </w:t>
      </w:r>
      <w:r w:rsidRPr="008A14CC">
        <w:rPr>
          <w:rFonts w:ascii="Palatino Linotype" w:hAnsi="Palatino Linotype"/>
          <w:sz w:val="24"/>
          <w:szCs w:val="24"/>
        </w:rPr>
        <w:lastRenderedPageBreak/>
        <w:t>Nueva York, Estados Unidos de América y fue ratificado por el Senado Mexicano el dieciocho de diciembre de mil novecientos ochenta.</w:t>
      </w:r>
    </w:p>
    <w:p w:rsidR="00FC06CB" w:rsidRPr="008A14CC" w:rsidRDefault="00FC06CB" w:rsidP="00FC06CB">
      <w:pPr>
        <w:numPr>
          <w:ilvl w:val="1"/>
          <w:numId w:val="1"/>
        </w:numPr>
        <w:spacing w:after="0" w:line="360" w:lineRule="auto"/>
        <w:contextualSpacing/>
        <w:jc w:val="both"/>
        <w:rPr>
          <w:rFonts w:ascii="Palatino Linotype" w:hAnsi="Palatino Linotype"/>
          <w:sz w:val="24"/>
          <w:szCs w:val="24"/>
        </w:rPr>
      </w:pPr>
      <w:r w:rsidRPr="008A14CC">
        <w:rPr>
          <w:rFonts w:ascii="Palatino Linotype" w:hAnsi="Palatino Linotype"/>
          <w:b/>
          <w:sz w:val="24"/>
          <w:szCs w:val="24"/>
        </w:rPr>
        <w:t>CONVENCIÓN AMERICANA SOBRE DERECHOS HUMANOS.</w:t>
      </w:r>
      <w:r w:rsidRPr="008A14CC">
        <w:rPr>
          <w:rFonts w:ascii="Palatino Linotype" w:hAnsi="Palatino Linotype"/>
          <w:sz w:val="24"/>
          <w:szCs w:val="24"/>
        </w:rPr>
        <w:t xml:space="preserve"> Firmada el veintidós de noviembre de mil novecientos sesenta y nueve en la ciudad de San José de Costa Rica y ratificada por la Cámara de Senadores del Congreso de la Unión el dieciocho de diciembre de mil novecientos ochenta. Esta convención fue publicada en el Diario Oficial de la Federación el siete de mayo de mil novecientos ochenta y uno.</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Estos tratados internacionales reconocen la libertad de pensamiento y expresión como un derecho humano que abarca el derecho a buscar, recibir y difundir información por cualquier medio, oralmente, en forma impresa o en cualquier otro medio a elección de la persona.</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De este modo, el artículo 19 de la Declaración Universal de Derechos Humanos lo reconoce de la siguiente manera:</w:t>
      </w:r>
    </w:p>
    <w:p w:rsidR="00FC06CB" w:rsidRPr="008A14CC" w:rsidRDefault="00FC06CB" w:rsidP="00FC06CB">
      <w:pPr>
        <w:spacing w:after="0" w:line="240" w:lineRule="auto"/>
        <w:ind w:left="851" w:right="567"/>
        <w:jc w:val="both"/>
        <w:rPr>
          <w:rFonts w:ascii="Palatino Linotype" w:hAnsi="Palatino Linotype"/>
          <w:i/>
        </w:rPr>
      </w:pPr>
      <w:r w:rsidRPr="008A14CC">
        <w:rPr>
          <w:rFonts w:ascii="Palatino Linotype" w:hAnsi="Palatino Linotype"/>
          <w:b/>
          <w:i/>
        </w:rPr>
        <w:t>“Artículo 19.</w:t>
      </w:r>
      <w:r w:rsidRPr="008A14CC">
        <w:rPr>
          <w:rFonts w:ascii="Palatino Linotype" w:hAnsi="Palatino Linotype"/>
          <w:i/>
        </w:rPr>
        <w:t xml:space="preserve"> Todo individuo tiene derecho a la libertad de opinión y de expresión; este derecho incluye el no ser molestado a causa de sus opiniones, el de </w:t>
      </w:r>
      <w:r w:rsidRPr="008A14CC">
        <w:rPr>
          <w:rFonts w:ascii="Palatino Linotype" w:hAnsi="Palatino Linotype"/>
          <w:i/>
          <w:u w:val="single"/>
        </w:rPr>
        <w:t>investigar y recibir informaciones y opiniones</w:t>
      </w:r>
      <w:r w:rsidRPr="008A14CC">
        <w:rPr>
          <w:rFonts w:ascii="Palatino Linotype" w:hAnsi="Palatino Linotype"/>
          <w:i/>
        </w:rPr>
        <w:t>, y el de difundirlas, sin limitación de fronteras, por cualquier medio de expresión.”</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Por su parte, el artículo 19 del Pacto Internacional de Derechos Civiles y Políticos protege este derecho con los siguientes alcances:</w:t>
      </w:r>
    </w:p>
    <w:p w:rsidR="00FC06CB" w:rsidRPr="00FC06CB" w:rsidRDefault="00FC06CB" w:rsidP="00FC06CB">
      <w:pPr>
        <w:spacing w:after="0" w:line="240" w:lineRule="auto"/>
        <w:ind w:left="851" w:right="567"/>
        <w:jc w:val="both"/>
        <w:rPr>
          <w:rFonts w:ascii="Palatino Linotype" w:hAnsi="Palatino Linotype"/>
          <w:b/>
          <w:i/>
          <w:sz w:val="20"/>
          <w:szCs w:val="20"/>
        </w:rPr>
      </w:pPr>
      <w:r w:rsidRPr="00FC06CB">
        <w:rPr>
          <w:rFonts w:ascii="Palatino Linotype" w:hAnsi="Palatino Linotype"/>
          <w:b/>
          <w:i/>
          <w:sz w:val="20"/>
          <w:szCs w:val="20"/>
        </w:rPr>
        <w:lastRenderedPageBreak/>
        <w:t>“Artículo 19</w:t>
      </w:r>
    </w:p>
    <w:p w:rsidR="00FC06CB" w:rsidRPr="00FC06CB" w:rsidRDefault="00FC06CB" w:rsidP="00FC06CB">
      <w:pPr>
        <w:spacing w:after="0" w:line="240" w:lineRule="auto"/>
        <w:ind w:left="851" w:right="567"/>
        <w:jc w:val="both"/>
        <w:rPr>
          <w:rFonts w:ascii="Palatino Linotype" w:hAnsi="Palatino Linotype"/>
          <w:i/>
          <w:sz w:val="20"/>
          <w:szCs w:val="20"/>
        </w:rPr>
      </w:pPr>
      <w:r w:rsidRPr="00FC06CB">
        <w:rPr>
          <w:rFonts w:ascii="Palatino Linotype" w:hAnsi="Palatino Linotype"/>
          <w:i/>
          <w:sz w:val="20"/>
          <w:szCs w:val="20"/>
        </w:rPr>
        <w:t>1. Nadie podrá ser molestado a causa de sus opiniones.</w:t>
      </w:r>
    </w:p>
    <w:p w:rsidR="00FC06CB" w:rsidRPr="00FC06CB" w:rsidRDefault="00FC06CB" w:rsidP="00FC06CB">
      <w:pPr>
        <w:spacing w:after="0" w:line="240" w:lineRule="auto"/>
        <w:ind w:left="851" w:right="567"/>
        <w:jc w:val="both"/>
        <w:rPr>
          <w:rFonts w:ascii="Palatino Linotype" w:hAnsi="Palatino Linotype"/>
          <w:i/>
          <w:sz w:val="20"/>
          <w:szCs w:val="20"/>
        </w:rPr>
      </w:pPr>
      <w:r w:rsidRPr="00FC06CB">
        <w:rPr>
          <w:rFonts w:ascii="Palatino Linotype" w:hAnsi="Palatino Linotype"/>
          <w:i/>
          <w:sz w:val="20"/>
          <w:szCs w:val="20"/>
        </w:rPr>
        <w:t xml:space="preserve">2. Toda persona tiene derecho a la libertad de expresión; este derecho comprende la </w:t>
      </w:r>
      <w:r w:rsidRPr="00FC06CB">
        <w:rPr>
          <w:rFonts w:ascii="Palatino Linotype" w:hAnsi="Palatino Linotype"/>
          <w:i/>
          <w:sz w:val="20"/>
          <w:szCs w:val="20"/>
          <w:u w:val="single"/>
        </w:rPr>
        <w:t>libertad de buscar, recibir y difundir informaciones</w:t>
      </w:r>
      <w:r w:rsidRPr="00FC06CB">
        <w:rPr>
          <w:rFonts w:ascii="Palatino Linotype" w:hAnsi="Palatino Linotype"/>
          <w:i/>
          <w:sz w:val="20"/>
          <w:szCs w:val="20"/>
        </w:rPr>
        <w:t xml:space="preserve"> e ideas de toda índole, sin consideración de fronteras, ya sea oralmente, por escrito o en forma impresa o artística, o por cualquier otro procedimiento de su elección.</w:t>
      </w:r>
    </w:p>
    <w:p w:rsidR="00FC06CB" w:rsidRPr="00FC06CB" w:rsidRDefault="00FC06CB" w:rsidP="00FC06CB">
      <w:pPr>
        <w:spacing w:after="0" w:line="240" w:lineRule="auto"/>
        <w:ind w:left="851" w:right="567"/>
        <w:jc w:val="both"/>
        <w:rPr>
          <w:rFonts w:ascii="Palatino Linotype" w:hAnsi="Palatino Linotype"/>
          <w:i/>
          <w:sz w:val="20"/>
          <w:szCs w:val="20"/>
          <w:u w:val="single"/>
        </w:rPr>
      </w:pPr>
      <w:r w:rsidRPr="00FC06CB">
        <w:rPr>
          <w:rFonts w:ascii="Palatino Linotype" w:hAnsi="Palatino Linotype"/>
          <w:i/>
          <w:sz w:val="20"/>
          <w:szCs w:val="20"/>
        </w:rPr>
        <w:t xml:space="preserve">3. El ejercicio del derecho previsto en el párrafo 2 de este artículo entraña deberes y responsabilidades especiales. </w:t>
      </w:r>
      <w:r w:rsidRPr="00FC06CB">
        <w:rPr>
          <w:rFonts w:ascii="Palatino Linotype" w:hAnsi="Palatino Linotype"/>
          <w:i/>
          <w:sz w:val="20"/>
          <w:szCs w:val="20"/>
          <w:u w:val="single"/>
        </w:rPr>
        <w:t>Por consiguiente, puede estar sujeto a ciertas restricciones que deberán, sin embargo, estar expresamente fijadas por la ley y ser necesaria para:</w:t>
      </w:r>
    </w:p>
    <w:p w:rsidR="00FC06CB" w:rsidRPr="00FC06CB" w:rsidRDefault="00FC06CB" w:rsidP="00FC06CB">
      <w:pPr>
        <w:spacing w:after="0" w:line="240" w:lineRule="auto"/>
        <w:ind w:left="851" w:right="567"/>
        <w:jc w:val="both"/>
        <w:rPr>
          <w:rFonts w:ascii="Palatino Linotype" w:hAnsi="Palatino Linotype"/>
          <w:i/>
          <w:sz w:val="20"/>
          <w:szCs w:val="20"/>
          <w:u w:val="single"/>
        </w:rPr>
      </w:pPr>
      <w:r w:rsidRPr="00FC06CB">
        <w:rPr>
          <w:rFonts w:ascii="Palatino Linotype" w:hAnsi="Palatino Linotype"/>
          <w:i/>
          <w:sz w:val="20"/>
          <w:szCs w:val="20"/>
          <w:u w:val="single"/>
        </w:rPr>
        <w:t>a) Asegurar el respeto a los derechos o a la reputación de los demás;</w:t>
      </w:r>
    </w:p>
    <w:p w:rsidR="00FC06CB" w:rsidRPr="00FC06CB" w:rsidRDefault="00FC06CB" w:rsidP="00FC06CB">
      <w:pPr>
        <w:spacing w:after="0" w:line="240" w:lineRule="auto"/>
        <w:ind w:left="851" w:right="567"/>
        <w:jc w:val="both"/>
        <w:rPr>
          <w:sz w:val="20"/>
          <w:szCs w:val="20"/>
        </w:rPr>
      </w:pPr>
      <w:r w:rsidRPr="00FC06CB">
        <w:rPr>
          <w:rFonts w:ascii="Palatino Linotype" w:hAnsi="Palatino Linotype"/>
          <w:i/>
          <w:sz w:val="20"/>
          <w:szCs w:val="20"/>
          <w:u w:val="single"/>
        </w:rPr>
        <w:t>b) La protección de la seguridad nacional, el orden público o la salud o la moral públicas.”</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Finalmente, el artículo 13 de la Convención Americana sobre Derechos Humanos reconoce a la libertad de pensamiento y expresión como un derecho de todas las personas bajo los siguientes postulados:</w:t>
      </w:r>
    </w:p>
    <w:p w:rsidR="00FC06CB" w:rsidRPr="00FC06CB" w:rsidRDefault="00FC06CB" w:rsidP="00FC06CB">
      <w:pPr>
        <w:spacing w:after="0" w:line="240" w:lineRule="auto"/>
        <w:ind w:left="851" w:right="567"/>
        <w:jc w:val="both"/>
        <w:rPr>
          <w:rFonts w:ascii="Palatino Linotype" w:hAnsi="Palatino Linotype"/>
          <w:b/>
          <w:i/>
          <w:sz w:val="20"/>
          <w:szCs w:val="20"/>
        </w:rPr>
      </w:pPr>
      <w:r w:rsidRPr="00FC06CB">
        <w:rPr>
          <w:rFonts w:ascii="Palatino Linotype" w:hAnsi="Palatino Linotype"/>
          <w:b/>
          <w:i/>
          <w:sz w:val="20"/>
          <w:szCs w:val="20"/>
        </w:rPr>
        <w:t>“Artículo 13. Libertad de Pensamiento y de Expresión</w:t>
      </w:r>
    </w:p>
    <w:p w:rsidR="00FC06CB" w:rsidRPr="00FC06CB" w:rsidRDefault="00FC06CB" w:rsidP="00FC06CB">
      <w:pPr>
        <w:spacing w:after="0" w:line="240" w:lineRule="auto"/>
        <w:ind w:left="851" w:right="567"/>
        <w:jc w:val="both"/>
        <w:rPr>
          <w:rFonts w:ascii="Palatino Linotype" w:hAnsi="Palatino Linotype"/>
          <w:i/>
          <w:sz w:val="20"/>
          <w:szCs w:val="20"/>
        </w:rPr>
      </w:pPr>
      <w:r w:rsidRPr="00FC06CB">
        <w:rPr>
          <w:rFonts w:ascii="Palatino Linotype" w:hAnsi="Palatino Linotype"/>
          <w:i/>
          <w:sz w:val="20"/>
          <w:szCs w:val="20"/>
        </w:rPr>
        <w:t xml:space="preserve">1. Toda persona tiene derecho a la libertad de pensamiento y de expresión. </w:t>
      </w:r>
      <w:r w:rsidRPr="00FC06CB">
        <w:rPr>
          <w:rFonts w:ascii="Palatino Linotype" w:hAnsi="Palatino Linotype"/>
          <w:i/>
          <w:sz w:val="20"/>
          <w:szCs w:val="20"/>
          <w:u w:val="single"/>
        </w:rPr>
        <w:t>Este derecho comprende la libertad de buscar, recibir y difundir informaciones e ideas de toda índole</w:t>
      </w:r>
      <w:r w:rsidRPr="00FC06CB">
        <w:rPr>
          <w:rFonts w:ascii="Palatino Linotype" w:hAnsi="Palatino Linotype"/>
          <w:i/>
          <w:sz w:val="20"/>
          <w:szCs w:val="20"/>
        </w:rPr>
        <w:t>, sin consideración de fronteras ya sea oralmente, por escrito o en forma impresa o artística, o por cualquier otro procedimiento de su elección.</w:t>
      </w:r>
    </w:p>
    <w:p w:rsidR="00FC06CB" w:rsidRPr="00FC06CB" w:rsidRDefault="00FC06CB" w:rsidP="00FC06CB">
      <w:pPr>
        <w:spacing w:after="0" w:line="240" w:lineRule="auto"/>
        <w:ind w:left="851" w:right="567"/>
        <w:jc w:val="both"/>
        <w:rPr>
          <w:rFonts w:ascii="Palatino Linotype" w:hAnsi="Palatino Linotype"/>
          <w:i/>
          <w:sz w:val="20"/>
          <w:szCs w:val="20"/>
          <w:u w:val="single"/>
        </w:rPr>
      </w:pPr>
      <w:r w:rsidRPr="00FC06CB">
        <w:rPr>
          <w:rFonts w:ascii="Palatino Linotype" w:hAnsi="Palatino Linotype"/>
          <w:i/>
          <w:sz w:val="20"/>
          <w:szCs w:val="20"/>
        </w:rPr>
        <w:t xml:space="preserve">2. El ejercicio del derecho previsto en el inciso precedente no puede estar sujeto a previa censura sino a responsabilidades ulteriores, </w:t>
      </w:r>
      <w:r w:rsidRPr="00FC06CB">
        <w:rPr>
          <w:rFonts w:ascii="Palatino Linotype" w:hAnsi="Palatino Linotype"/>
          <w:i/>
          <w:sz w:val="20"/>
          <w:szCs w:val="20"/>
          <w:u w:val="single"/>
        </w:rPr>
        <w:t>las que deben estar expresamente fijadas por la ley y ser necesarias para asegurar:</w:t>
      </w:r>
    </w:p>
    <w:p w:rsidR="00FC06CB" w:rsidRPr="00FC06CB" w:rsidRDefault="00FC06CB" w:rsidP="00FC06CB">
      <w:pPr>
        <w:spacing w:after="0" w:line="240" w:lineRule="auto"/>
        <w:ind w:left="851" w:right="567"/>
        <w:jc w:val="both"/>
        <w:rPr>
          <w:rFonts w:ascii="Palatino Linotype" w:hAnsi="Palatino Linotype"/>
          <w:i/>
          <w:sz w:val="20"/>
          <w:szCs w:val="20"/>
          <w:u w:val="single"/>
        </w:rPr>
      </w:pPr>
      <w:r w:rsidRPr="00FC06CB">
        <w:rPr>
          <w:rFonts w:ascii="Palatino Linotype" w:hAnsi="Palatino Linotype"/>
          <w:i/>
          <w:sz w:val="20"/>
          <w:szCs w:val="20"/>
          <w:u w:val="single"/>
        </w:rPr>
        <w:t>a) el respeto a los derechos o a la reputación de los demás, o</w:t>
      </w:r>
    </w:p>
    <w:p w:rsidR="00FC06CB" w:rsidRPr="00FC06CB" w:rsidRDefault="00FC06CB" w:rsidP="00FC06CB">
      <w:pPr>
        <w:spacing w:after="0" w:line="240" w:lineRule="auto"/>
        <w:ind w:left="851" w:right="567"/>
        <w:jc w:val="both"/>
        <w:rPr>
          <w:rFonts w:ascii="Palatino Linotype" w:hAnsi="Palatino Linotype"/>
          <w:i/>
          <w:sz w:val="20"/>
          <w:szCs w:val="20"/>
        </w:rPr>
      </w:pPr>
      <w:r w:rsidRPr="00FC06CB">
        <w:rPr>
          <w:rFonts w:ascii="Palatino Linotype" w:hAnsi="Palatino Linotype"/>
          <w:i/>
          <w:sz w:val="20"/>
          <w:szCs w:val="20"/>
          <w:u w:val="single"/>
        </w:rPr>
        <w:t>b) la protección de la seguridad nacional, el orden público o la salud o la moral públicas.</w:t>
      </w:r>
    </w:p>
    <w:p w:rsidR="00FC06CB" w:rsidRPr="00FC06CB" w:rsidRDefault="00FC06CB" w:rsidP="00FC06CB">
      <w:pPr>
        <w:spacing w:after="0" w:line="240" w:lineRule="auto"/>
        <w:ind w:left="851" w:right="567"/>
        <w:jc w:val="both"/>
        <w:rPr>
          <w:rFonts w:ascii="Palatino Linotype" w:hAnsi="Palatino Linotype"/>
          <w:i/>
          <w:sz w:val="20"/>
          <w:szCs w:val="20"/>
        </w:rPr>
      </w:pPr>
      <w:r w:rsidRPr="00FC06CB">
        <w:rPr>
          <w:rFonts w:ascii="Palatino Linotype" w:hAnsi="Palatino Linotype"/>
          <w:i/>
          <w:sz w:val="20"/>
          <w:szCs w:val="20"/>
        </w:rPr>
        <w:t>(…)”</w:t>
      </w:r>
    </w:p>
    <w:p w:rsidR="00FC06CB" w:rsidRPr="008A14CC" w:rsidRDefault="00FC06CB" w:rsidP="00FC06CB">
      <w:pPr>
        <w:spacing w:after="0" w:line="360" w:lineRule="auto"/>
        <w:contextualSpacing/>
        <w:jc w:val="both"/>
        <w:rPr>
          <w:rFonts w:ascii="Palatino Linotype" w:hAnsi="Palatino Linotype"/>
          <w:sz w:val="24"/>
          <w:szCs w:val="24"/>
        </w:rPr>
      </w:pPr>
    </w:p>
    <w:p w:rsidR="00FC06CB"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 xml:space="preserve">De 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w:t>
      </w:r>
      <w:r w:rsidRPr="008A14CC">
        <w:rPr>
          <w:rFonts w:ascii="Palatino Linotype" w:hAnsi="Palatino Linotype"/>
          <w:sz w:val="24"/>
          <w:szCs w:val="24"/>
        </w:rPr>
        <w:lastRenderedPageBreak/>
        <w:t>información se atente contra el respecto y reputación de las personas o pueda provocar una vulneración a la seguridad nacional, a la salud o moral públicas.</w:t>
      </w:r>
      <w:r>
        <w:rPr>
          <w:rFonts w:ascii="Palatino Linotype" w:hAnsi="Palatino Linotype"/>
          <w:sz w:val="24"/>
          <w:szCs w:val="24"/>
        </w:rPr>
        <w:t xml:space="preserve"> </w:t>
      </w:r>
    </w:p>
    <w:p w:rsidR="00FC06CB" w:rsidRPr="008A14CC" w:rsidRDefault="00FC06CB" w:rsidP="00FC06CB">
      <w:pPr>
        <w:spacing w:after="0" w:line="360" w:lineRule="auto"/>
        <w:ind w:left="360"/>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De 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rsidR="00FC06CB" w:rsidRPr="008A14CC" w:rsidRDefault="00FC06CB" w:rsidP="00FC06CB">
      <w:pPr>
        <w:spacing w:after="0" w:line="360" w:lineRule="auto"/>
        <w:ind w:left="360"/>
        <w:contextualSpacing/>
        <w:jc w:val="both"/>
        <w:rPr>
          <w:rFonts w:ascii="Palatino Linotype" w:hAnsi="Palatino Linotype"/>
          <w:sz w:val="24"/>
          <w:szCs w:val="24"/>
        </w:rPr>
      </w:pPr>
    </w:p>
    <w:p w:rsidR="00FC06CB" w:rsidRPr="008A14CC" w:rsidRDefault="00FC06CB" w:rsidP="00FC06CB">
      <w:pPr>
        <w:numPr>
          <w:ilvl w:val="0"/>
          <w:numId w:val="1"/>
        </w:numPr>
        <w:spacing w:after="0" w:line="360" w:lineRule="auto"/>
        <w:contextualSpacing/>
        <w:jc w:val="both"/>
        <w:rPr>
          <w:rFonts w:ascii="Palatino Linotype" w:hAnsi="Palatino Linotype"/>
          <w:sz w:val="24"/>
          <w:szCs w:val="24"/>
        </w:rPr>
      </w:pPr>
      <w:r w:rsidRPr="008A14CC">
        <w:rPr>
          <w:rFonts w:ascii="Palatino Linotype" w:hAnsi="Palatino Linotype"/>
          <w:sz w:val="24"/>
          <w:szCs w:val="24"/>
        </w:rPr>
        <w:t>Y es bajo las anteriores consideraciones, por lo cual mi Ponencia ha mantenido la postura de que la fracción VI del artículo 148 del Código Financiero del Estado de México y Municipios, restringe el derecho humano de acceso a la información pública al agregar un costo al escaneo y digitalización de la información solicitada para ser entregada a través de la plataforma electrónica SAIMEX.</w:t>
      </w:r>
    </w:p>
    <w:p w:rsidR="00FC06CB" w:rsidRPr="008A14CC" w:rsidRDefault="00FC06CB" w:rsidP="00FC06CB">
      <w:pPr>
        <w:spacing w:after="0" w:line="360" w:lineRule="auto"/>
        <w:ind w:left="360"/>
        <w:contextualSpacing/>
        <w:jc w:val="both"/>
        <w:rPr>
          <w:rFonts w:ascii="Palatino Linotype" w:hAnsi="Palatino Linotype"/>
          <w:sz w:val="24"/>
          <w:szCs w:val="24"/>
        </w:rPr>
      </w:pPr>
    </w:p>
    <w:p w:rsidR="00FC06CB" w:rsidRPr="00FC06CB" w:rsidRDefault="00FC06CB" w:rsidP="00FC06CB">
      <w:pPr>
        <w:numPr>
          <w:ilvl w:val="0"/>
          <w:numId w:val="1"/>
        </w:numPr>
        <w:spacing w:after="0" w:line="360" w:lineRule="auto"/>
        <w:contextualSpacing/>
        <w:jc w:val="both"/>
        <w:rPr>
          <w:rFonts w:ascii="Palatino Linotype" w:hAnsi="Palatino Linotype"/>
        </w:rPr>
      </w:pPr>
      <w:r w:rsidRPr="008A14CC">
        <w:rPr>
          <w:rFonts w:ascii="Palatino Linotype" w:hAnsi="Palatino Linotype" w:cs="Arial"/>
          <w:bCs/>
          <w:sz w:val="24"/>
          <w:szCs w:val="24"/>
        </w:rPr>
        <w:t xml:space="preserve">Por consiguiente, de las consideraciones señaladas y derivado de la funciones y atribuciones conferidas a la </w:t>
      </w:r>
      <w:r w:rsidRPr="008A14CC">
        <w:rPr>
          <w:rFonts w:ascii="Palatino Linotype" w:hAnsi="Palatino Linotype" w:cs="Arial"/>
          <w:b/>
          <w:bCs/>
          <w:sz w:val="24"/>
          <w:szCs w:val="24"/>
        </w:rPr>
        <w:t xml:space="preserve">Universidad Politécnica del Valle de Toluca </w:t>
      </w:r>
      <w:r w:rsidRPr="008A14CC">
        <w:rPr>
          <w:rFonts w:ascii="Palatino Linotype" w:hAnsi="Palatino Linotype" w:cs="Arial"/>
          <w:bCs/>
          <w:sz w:val="24"/>
          <w:szCs w:val="24"/>
        </w:rPr>
        <w:t xml:space="preserve">se deduce que cuenta con las capacidades técnicas y presupuestales necesarias para realizar sus funciones sin alguna limitante para observar los principios de </w:t>
      </w:r>
      <w:r w:rsidRPr="00FC06CB">
        <w:rPr>
          <w:rFonts w:ascii="Palatino Linotype" w:hAnsi="Palatino Linotype" w:cs="Arial"/>
          <w:bCs/>
        </w:rPr>
        <w:lastRenderedPageBreak/>
        <w:t xml:space="preserve">gratuidad y </w:t>
      </w:r>
      <w:r w:rsidRPr="00FC06CB">
        <w:rPr>
          <w:rFonts w:ascii="Palatino Linotype" w:hAnsi="Palatino Linotype" w:cs="Arial"/>
          <w:bCs/>
          <w:i/>
        </w:rPr>
        <w:t>pro persona</w:t>
      </w:r>
      <w:r w:rsidRPr="00FC06CB">
        <w:rPr>
          <w:rFonts w:ascii="Palatino Linotype" w:hAnsi="Palatino Linotype" w:cs="Arial"/>
          <w:bCs/>
        </w:rPr>
        <w:t xml:space="preserve"> previamente estudiados, y por lo tanto entregar la información en la modalidad requerida por </w:t>
      </w:r>
      <w:r w:rsidR="00A11593" w:rsidRPr="00A11593">
        <w:rPr>
          <w:rFonts w:ascii="Palatino Linotype" w:hAnsi="Palatino Linotype" w:cs="Arial"/>
          <w:b/>
          <w:bCs/>
          <w:highlight w:val="black"/>
        </w:rPr>
        <w:t>-----------------------------------</w:t>
      </w:r>
      <w:r w:rsidRPr="00FC06CB">
        <w:rPr>
          <w:rFonts w:ascii="Palatino Linotype" w:hAnsi="Palatino Linotype" w:cs="Arial"/>
          <w:b/>
          <w:bCs/>
        </w:rPr>
        <w:t xml:space="preserve"> </w:t>
      </w:r>
      <w:r w:rsidRPr="00FC06CB">
        <w:rPr>
          <w:rFonts w:ascii="Palatino Linotype" w:hAnsi="Palatino Linotype" w:cs="Arial"/>
          <w:bCs/>
        </w:rPr>
        <w:t>s</w:t>
      </w:r>
      <w:r w:rsidRPr="00FC06CB">
        <w:rPr>
          <w:rFonts w:ascii="Palatino Linotype" w:hAnsi="Palatino Linotype"/>
        </w:rPr>
        <w:t xml:space="preserve">in necesidad de que previo a la entrega de la información realice pago alguno, </w:t>
      </w:r>
      <w:r w:rsidRPr="00FC06CB">
        <w:rPr>
          <w:rFonts w:ascii="Palatino Linotype" w:hAnsi="Palatino Linotype" w:cs="Arial"/>
        </w:rPr>
        <w:t xml:space="preserve">ya que actuar como se propone en la resolución resulta una carga desproporcionada que limita su derecho, </w:t>
      </w:r>
      <w:r w:rsidRPr="00FC06CB">
        <w:rPr>
          <w:rFonts w:ascii="Palatino Linotype" w:hAnsi="Palatino Linotype" w:cs="Arial"/>
          <w:b/>
        </w:rPr>
        <w:t>afecta el ejercicio de control popular de los actos de gobierno</w:t>
      </w:r>
      <w:r w:rsidRPr="00FC06CB">
        <w:rPr>
          <w:rFonts w:ascii="Palatino Linotype" w:hAnsi="Palatino Linotype" w:cs="Arial"/>
        </w:rPr>
        <w:t xml:space="preserve"> y debilita el debate público informado que, a la larga, sólo puede contribuir al fortalecimiento de la sociedad democrática.</w:t>
      </w:r>
    </w:p>
    <w:p w:rsidR="00FC06CB" w:rsidRPr="00FC06CB" w:rsidRDefault="00FC06CB" w:rsidP="00FC06CB">
      <w:pPr>
        <w:spacing w:after="0" w:line="360" w:lineRule="auto"/>
        <w:contextualSpacing/>
        <w:jc w:val="both"/>
        <w:rPr>
          <w:rFonts w:ascii="Palatino Linotype" w:hAnsi="Palatino Linotype"/>
        </w:rPr>
      </w:pPr>
    </w:p>
    <w:p w:rsidR="00FC06CB" w:rsidRPr="00FC06CB" w:rsidRDefault="00FC06CB" w:rsidP="00FC06CB">
      <w:pPr>
        <w:keepNext/>
        <w:keepLines/>
        <w:spacing w:before="240" w:after="0"/>
        <w:outlineLvl w:val="0"/>
        <w:rPr>
          <w:rFonts w:ascii="Palatino Linotype" w:eastAsia="Calibri" w:hAnsi="Palatino Linotype" w:cstheme="majorBidi"/>
          <w:b/>
          <w:color w:val="000000" w:themeColor="text1"/>
        </w:rPr>
      </w:pPr>
      <w:bookmarkStart w:id="7" w:name="_Toc516449146"/>
      <w:r w:rsidRPr="00FC06CB">
        <w:rPr>
          <w:rFonts w:ascii="Palatino Linotype" w:eastAsia="Calibri" w:hAnsi="Palatino Linotype" w:cstheme="majorBidi"/>
          <w:b/>
        </w:rPr>
        <w:t>VI. Conclusión.</w:t>
      </w:r>
      <w:bookmarkEnd w:id="7"/>
    </w:p>
    <w:p w:rsidR="00FC06CB" w:rsidRPr="00FC06CB" w:rsidRDefault="00FC06CB" w:rsidP="00FC06CB">
      <w:pPr>
        <w:contextualSpacing/>
        <w:rPr>
          <w:rFonts w:ascii="Palatino Linotype" w:eastAsia="Calibri" w:hAnsi="Palatino Linotype" w:cs="Arial"/>
        </w:rPr>
      </w:pPr>
    </w:p>
    <w:p w:rsidR="00FC06CB" w:rsidRPr="00FC06CB" w:rsidRDefault="00FC06CB" w:rsidP="00FC06CB">
      <w:pPr>
        <w:numPr>
          <w:ilvl w:val="0"/>
          <w:numId w:val="1"/>
        </w:numPr>
        <w:spacing w:line="360" w:lineRule="auto"/>
        <w:contextualSpacing/>
        <w:jc w:val="both"/>
        <w:rPr>
          <w:rFonts w:ascii="Palatino Linotype" w:eastAsia="Calibri" w:hAnsi="Palatino Linotype" w:cs="Arial"/>
        </w:rPr>
      </w:pPr>
      <w:r w:rsidRPr="00FC06CB">
        <w:rPr>
          <w:rFonts w:ascii="Palatino Linotype" w:eastAsia="Calibri" w:hAnsi="Palatino Linotype" w:cs="Arial"/>
        </w:rPr>
        <w:t xml:space="preserve">Por lo mencionado anteriormente, considero que es de suma importancia que en los casos de que el </w:t>
      </w:r>
      <w:r w:rsidRPr="00FC06CB">
        <w:rPr>
          <w:rFonts w:ascii="Palatino Linotype" w:eastAsia="Calibri" w:hAnsi="Palatino Linotype" w:cs="Arial"/>
          <w:b/>
        </w:rPr>
        <w:t>SUJETO OBLIGADO</w:t>
      </w:r>
      <w:r w:rsidRPr="00FC06CB">
        <w:rPr>
          <w:rFonts w:ascii="Palatino Linotype" w:eastAsia="Calibri" w:hAnsi="Palatino Linotype" w:cs="Arial"/>
        </w:rPr>
        <w:t xml:space="preserve"> condicione a los particulares a realizar el pago de derechos contenido en el artículo 73 fracción VI del Código Financiero del Estado de México, realicemos un estudio y análisis profundo de la contradicción legal que genera la fracción en comento a los principios de transparencia y acceso a la información pública que el Estado nos encargó procurar, velar y defender como máximos representantes de nuestro Instituto de Transparencia, Acceso a la Información Pública y Protección de Datos Personales del Estado de México y Municipios, de lo contrario, éste Órgano Garante se encontraría contribuyendo a ralentizar la necesaria evolución de nuestros entes administrativos a la era moderna de digitalización institucional.</w:t>
      </w:r>
    </w:p>
    <w:p w:rsidR="00FC06CB" w:rsidRPr="008A14CC" w:rsidRDefault="00FC06CB" w:rsidP="00FC06CB">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p>
    <w:p w:rsidR="00FC06CB" w:rsidRPr="008A14CC" w:rsidRDefault="00FC06CB" w:rsidP="00FC06CB">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p>
    <w:p w:rsidR="00FC06CB" w:rsidRPr="008A14CC" w:rsidRDefault="00FC06CB" w:rsidP="00FC06CB">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8A14CC">
        <w:rPr>
          <w:rFonts w:ascii="Palatino Linotype" w:eastAsia="Arial" w:hAnsi="Palatino Linotype" w:cs="Arial"/>
          <w:b/>
          <w:color w:val="000000" w:themeColor="text1"/>
          <w:sz w:val="24"/>
          <w:szCs w:val="24"/>
          <w:lang w:eastAsia="es-MX"/>
        </w:rPr>
        <w:tab/>
        <w:t>JOSÉ GUADALUPE LUNA HERNÁNDEZ</w:t>
      </w:r>
      <w:r w:rsidRPr="008A14CC">
        <w:rPr>
          <w:rFonts w:ascii="Palatino Linotype" w:eastAsia="Arial" w:hAnsi="Palatino Linotype" w:cs="Arial"/>
          <w:b/>
          <w:color w:val="000000" w:themeColor="text1"/>
          <w:sz w:val="24"/>
          <w:szCs w:val="24"/>
          <w:lang w:eastAsia="es-MX"/>
        </w:rPr>
        <w:tab/>
      </w:r>
    </w:p>
    <w:p w:rsidR="00FC06CB" w:rsidRPr="008A14CC" w:rsidRDefault="00FC06CB" w:rsidP="00FC06CB">
      <w:pPr>
        <w:spacing w:after="0" w:line="240" w:lineRule="auto"/>
        <w:jc w:val="center"/>
        <w:rPr>
          <w:rFonts w:ascii="Palatino Linotype" w:eastAsia="Arial" w:hAnsi="Palatino Linotype" w:cs="Arial"/>
          <w:b/>
          <w:color w:val="000000" w:themeColor="text1"/>
          <w:sz w:val="24"/>
          <w:szCs w:val="24"/>
          <w:lang w:eastAsia="es-MX"/>
        </w:rPr>
      </w:pPr>
      <w:r w:rsidRPr="008A14CC">
        <w:rPr>
          <w:rFonts w:ascii="Palatino Linotype" w:eastAsia="Arial" w:hAnsi="Palatino Linotype" w:cs="Arial"/>
          <w:b/>
          <w:color w:val="000000" w:themeColor="text1"/>
          <w:sz w:val="24"/>
          <w:szCs w:val="24"/>
          <w:lang w:eastAsia="es-MX"/>
        </w:rPr>
        <w:t>COMISIONADO</w:t>
      </w:r>
    </w:p>
    <w:p w:rsidR="00FC06CB" w:rsidRPr="008A14CC" w:rsidRDefault="00FC06CB" w:rsidP="00FC06CB">
      <w:pPr>
        <w:spacing w:after="0" w:line="240" w:lineRule="auto"/>
        <w:jc w:val="center"/>
        <w:rPr>
          <w:rFonts w:ascii="Palatino Linotype" w:hAnsi="Palatino Linotype"/>
          <w:b/>
          <w:color w:val="000000" w:themeColor="text1"/>
          <w:sz w:val="24"/>
          <w:szCs w:val="24"/>
        </w:rPr>
      </w:pPr>
      <w:r w:rsidRPr="008A14CC">
        <w:rPr>
          <w:rFonts w:ascii="Palatino Linotype" w:hAnsi="Palatino Linotype"/>
          <w:b/>
          <w:color w:val="000000" w:themeColor="text1"/>
          <w:sz w:val="24"/>
          <w:szCs w:val="24"/>
        </w:rPr>
        <w:t>(Rúbrica)</w:t>
      </w:r>
    </w:p>
    <w:p w:rsidR="00FC06CB" w:rsidRPr="008A14CC" w:rsidRDefault="00FC06CB" w:rsidP="00FC06CB">
      <w:pPr>
        <w:spacing w:after="0" w:line="240" w:lineRule="auto"/>
        <w:rPr>
          <w:rFonts w:ascii="Palatino Linotype" w:hAnsi="Palatino Linotype"/>
          <w:color w:val="000000" w:themeColor="text1"/>
          <w:sz w:val="24"/>
          <w:szCs w:val="24"/>
        </w:rPr>
      </w:pPr>
    </w:p>
    <w:p w:rsidR="00797A31" w:rsidRPr="00FC06CB" w:rsidRDefault="00FC06CB" w:rsidP="00FC06CB">
      <w:pPr>
        <w:spacing w:after="0" w:line="240" w:lineRule="auto"/>
        <w:rPr>
          <w:rFonts w:ascii="Palatino Linotype" w:hAnsi="Palatino Linotype"/>
          <w:color w:val="000000" w:themeColor="text1"/>
          <w:sz w:val="24"/>
          <w:szCs w:val="24"/>
        </w:rPr>
      </w:pPr>
      <w:r w:rsidRPr="008A14CC">
        <w:rPr>
          <w:rFonts w:ascii="Palatino Linotype" w:hAnsi="Palatino Linotype"/>
          <w:color w:val="000000" w:themeColor="text1"/>
          <w:sz w:val="24"/>
          <w:szCs w:val="24"/>
        </w:rPr>
        <w:t>JGLH</w:t>
      </w:r>
      <w:r>
        <w:rPr>
          <w:rFonts w:ascii="Palatino Linotype" w:hAnsi="Palatino Linotype"/>
          <w:color w:val="000000" w:themeColor="text1"/>
          <w:sz w:val="24"/>
          <w:szCs w:val="24"/>
        </w:rPr>
        <w:t>/msa</w:t>
      </w:r>
    </w:p>
    <w:sectPr w:rsidR="00797A31" w:rsidRPr="00FC06CB"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92" w:rsidRDefault="00961092" w:rsidP="00E82D3D">
      <w:pPr>
        <w:spacing w:after="0" w:line="240" w:lineRule="auto"/>
      </w:pPr>
      <w:r>
        <w:separator/>
      </w:r>
    </w:p>
  </w:endnote>
  <w:endnote w:type="continuationSeparator" w:id="0">
    <w:p w:rsidR="00961092" w:rsidRDefault="0096109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57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577F">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92" w:rsidRDefault="00961092" w:rsidP="00E82D3D">
      <w:pPr>
        <w:spacing w:after="0" w:line="240" w:lineRule="auto"/>
      </w:pPr>
      <w:r>
        <w:separator/>
      </w:r>
    </w:p>
  </w:footnote>
  <w:footnote w:type="continuationSeparator" w:id="0">
    <w:p w:rsidR="00961092" w:rsidRDefault="00961092"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577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577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577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2">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EB1281"/>
    <w:multiLevelType w:val="hybridMultilevel"/>
    <w:tmpl w:val="112C4226"/>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19"/>
  </w:num>
  <w:num w:numId="5">
    <w:abstractNumId w:val="0"/>
  </w:num>
  <w:num w:numId="6">
    <w:abstractNumId w:val="1"/>
  </w:num>
  <w:num w:numId="7">
    <w:abstractNumId w:val="10"/>
  </w:num>
  <w:num w:numId="8">
    <w:abstractNumId w:val="12"/>
  </w:num>
  <w:num w:numId="9">
    <w:abstractNumId w:val="18"/>
  </w:num>
  <w:num w:numId="10">
    <w:abstractNumId w:val="11"/>
  </w:num>
  <w:num w:numId="11">
    <w:abstractNumId w:val="14"/>
  </w:num>
  <w:num w:numId="12">
    <w:abstractNumId w:val="6"/>
  </w:num>
  <w:num w:numId="13">
    <w:abstractNumId w:val="21"/>
  </w:num>
  <w:num w:numId="14">
    <w:abstractNumId w:val="20"/>
  </w:num>
  <w:num w:numId="15">
    <w:abstractNumId w:val="2"/>
  </w:num>
  <w:num w:numId="16">
    <w:abstractNumId w:val="9"/>
  </w:num>
  <w:num w:numId="17">
    <w:abstractNumId w:val="5"/>
  </w:num>
  <w:num w:numId="18">
    <w:abstractNumId w:val="7"/>
  </w:num>
  <w:num w:numId="19">
    <w:abstractNumId w:val="13"/>
  </w:num>
  <w:num w:numId="20">
    <w:abstractNumId w:val="4"/>
  </w:num>
  <w:num w:numId="21">
    <w:abstractNumId w:val="8"/>
  </w:num>
  <w:num w:numId="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6282"/>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5577F"/>
    <w:rsid w:val="0025591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937E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14E67"/>
    <w:rsid w:val="00922197"/>
    <w:rsid w:val="0093474A"/>
    <w:rsid w:val="00945937"/>
    <w:rsid w:val="00950BDB"/>
    <w:rsid w:val="00961092"/>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11593"/>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06CB"/>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2586-7AA3-4703-B78F-C8866BC4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6364</Words>
  <Characters>35006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2018-09-17T22:32:00Z</cp:lastPrinted>
  <dcterms:created xsi:type="dcterms:W3CDTF">2018-10-29T17:32:00Z</dcterms:created>
  <dcterms:modified xsi:type="dcterms:W3CDTF">2018-10-29T17:32:00Z</dcterms:modified>
</cp:coreProperties>
</file>